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CDBD" w14:textId="6DBD72EC" w:rsidR="008D5FE8" w:rsidRPr="001C5FCA" w:rsidRDefault="00F6331C" w:rsidP="008D5FE8">
      <w:pPr>
        <w:spacing w:before="240" w:line="360" w:lineRule="auto"/>
        <w:jc w:val="both"/>
        <w:rPr>
          <w:rFonts w:ascii="Franklin Gothic Book" w:eastAsia="Calibri" w:hAnsi="Franklin Gothic Book" w:cs="Times New Roman"/>
          <w:b/>
          <w:sz w:val="28"/>
          <w:szCs w:val="28"/>
        </w:rPr>
      </w:pPr>
      <w:r w:rsidRPr="001C5FCA">
        <w:rPr>
          <w:rFonts w:ascii="Franklin Gothic Book" w:eastAsia="Calibri" w:hAnsi="Franklin Gothic Book" w:cs="Times New Roman"/>
          <w:b/>
          <w:sz w:val="28"/>
          <w:szCs w:val="28"/>
        </w:rPr>
        <w:t>The Coronavirus and</w:t>
      </w:r>
      <w:r w:rsidR="00D96FB4" w:rsidRPr="001C5FCA">
        <w:rPr>
          <w:rFonts w:ascii="Franklin Gothic Book" w:eastAsia="Calibri" w:hAnsi="Franklin Gothic Book" w:cs="Times New Roman"/>
          <w:b/>
          <w:sz w:val="28"/>
          <w:szCs w:val="28"/>
        </w:rPr>
        <w:t xml:space="preserve"> the</w:t>
      </w:r>
      <w:r w:rsidR="008D5FE8" w:rsidRPr="001C5FCA">
        <w:rPr>
          <w:rFonts w:ascii="Franklin Gothic Book" w:eastAsia="Calibri" w:hAnsi="Franklin Gothic Book" w:cs="Times New Roman"/>
          <w:b/>
          <w:sz w:val="28"/>
          <w:szCs w:val="28"/>
        </w:rPr>
        <w:t xml:space="preserve"> </w:t>
      </w:r>
      <w:r w:rsidRPr="001C5FCA">
        <w:rPr>
          <w:rFonts w:ascii="Franklin Gothic Book" w:eastAsia="Calibri" w:hAnsi="Franklin Gothic Book" w:cs="Times New Roman"/>
          <w:b/>
          <w:sz w:val="28"/>
          <w:szCs w:val="28"/>
        </w:rPr>
        <w:t xml:space="preserve">Economy of </w:t>
      </w:r>
      <w:r w:rsidR="008D5FE8" w:rsidRPr="001C5FCA">
        <w:rPr>
          <w:rFonts w:ascii="Franklin Gothic Book" w:eastAsia="Calibri" w:hAnsi="Franklin Gothic Book" w:cs="Times New Roman"/>
          <w:b/>
          <w:sz w:val="28"/>
          <w:szCs w:val="28"/>
        </w:rPr>
        <w:t>Zimbabwe</w:t>
      </w:r>
    </w:p>
    <w:p w14:paraId="19D7ADBE" w14:textId="2DF23F48"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 xml:space="preserve">In December 2019, Wuhan, Hubei province, one of </w:t>
      </w:r>
      <w:r w:rsidR="00E06447">
        <w:rPr>
          <w:rFonts w:ascii="Franklin Gothic Book" w:eastAsia="Calibri" w:hAnsi="Franklin Gothic Book" w:cs="Times New Roman"/>
        </w:rPr>
        <w:t xml:space="preserve">China’s </w:t>
      </w:r>
      <w:r w:rsidRPr="008D5FE8">
        <w:rPr>
          <w:rFonts w:ascii="Franklin Gothic Book" w:eastAsia="Calibri" w:hAnsi="Franklin Gothic Book" w:cs="Times New Roman"/>
        </w:rPr>
        <w:t>six</w:t>
      </w:r>
      <w:r w:rsidR="00292474" w:rsidRPr="005603C8">
        <w:rPr>
          <w:rFonts w:ascii="Franklin Gothic Book" w:eastAsia="Calibri" w:hAnsi="Franklin Gothic Book" w:cs="Times New Roman"/>
        </w:rPr>
        <w:t xml:space="preserve"> </w:t>
      </w:r>
      <w:r w:rsidRPr="008D5FE8">
        <w:rPr>
          <w:rFonts w:ascii="Franklin Gothic Book" w:eastAsia="Calibri" w:hAnsi="Franklin Gothic Book" w:cs="Times New Roman"/>
        </w:rPr>
        <w:t>megalopolises with a population of 14 million, became the centre of an outbreak of COVID</w:t>
      </w:r>
      <w:r w:rsidR="00292474" w:rsidRPr="005603C8">
        <w:rPr>
          <w:rFonts w:ascii="Franklin Gothic Book" w:eastAsia="Calibri" w:hAnsi="Franklin Gothic Book" w:cs="Times New Roman"/>
        </w:rPr>
        <w:t>-</w:t>
      </w:r>
      <w:r w:rsidRPr="008D5FE8">
        <w:rPr>
          <w:rFonts w:ascii="Franklin Gothic Book" w:eastAsia="Calibri" w:hAnsi="Franklin Gothic Book" w:cs="Times New Roman"/>
        </w:rPr>
        <w:t>19</w:t>
      </w:r>
      <w:r w:rsidR="00E06447">
        <w:rPr>
          <w:rFonts w:ascii="Franklin Gothic Book" w:eastAsia="Calibri" w:hAnsi="Franklin Gothic Book" w:cs="Times New Roman"/>
        </w:rPr>
        <w:t>, which the</w:t>
      </w:r>
      <w:r w:rsidRPr="008D5FE8">
        <w:rPr>
          <w:rFonts w:ascii="Franklin Gothic Book" w:eastAsia="Calibri" w:hAnsi="Franklin Gothic Book" w:cs="Times New Roman"/>
        </w:rPr>
        <w:t xml:space="preserve"> World Health Organization</w:t>
      </w:r>
      <w:r w:rsidR="00292474" w:rsidRPr="005603C8">
        <w:rPr>
          <w:rFonts w:ascii="Franklin Gothic Book" w:eastAsia="Calibri" w:hAnsi="Franklin Gothic Book" w:cs="Times New Roman"/>
        </w:rPr>
        <w:t xml:space="preserve"> (WHO)</w:t>
      </w:r>
      <w:r w:rsidRPr="008D5FE8">
        <w:rPr>
          <w:rFonts w:ascii="Franklin Gothic Book" w:eastAsia="Calibri" w:hAnsi="Franklin Gothic Book" w:cs="Times New Roman"/>
        </w:rPr>
        <w:t xml:space="preserve"> declared a global pandemic on 11 March 2020. </w:t>
      </w:r>
      <w:r w:rsidR="00121631">
        <w:rPr>
          <w:rFonts w:ascii="Franklin Gothic Book" w:eastAsia="Calibri" w:hAnsi="Franklin Gothic Book" w:cs="Times New Roman"/>
        </w:rPr>
        <w:t>Countries have taken multiple and varied measures to mitigate against the spread of the pandemic virus, including prohibition of large gathering, social distancing and complete country lockdowns. I</w:t>
      </w:r>
      <w:r w:rsidRPr="008D5FE8">
        <w:rPr>
          <w:rFonts w:ascii="Franklin Gothic Book" w:eastAsia="Calibri" w:hAnsi="Franklin Gothic Book" w:cs="Times New Roman"/>
        </w:rPr>
        <w:t xml:space="preserve">mportant economic and social events and activities </w:t>
      </w:r>
      <w:r w:rsidR="00121631">
        <w:rPr>
          <w:rFonts w:ascii="Franklin Gothic Book" w:eastAsia="Calibri" w:hAnsi="Franklin Gothic Book" w:cs="Times New Roman"/>
        </w:rPr>
        <w:t xml:space="preserve">have been </w:t>
      </w:r>
      <w:r w:rsidRPr="008D5FE8">
        <w:rPr>
          <w:rFonts w:ascii="Franklin Gothic Book" w:eastAsia="Calibri" w:hAnsi="Franklin Gothic Book" w:cs="Times New Roman"/>
        </w:rPr>
        <w:t>cancelled or postponed indefinitely</w:t>
      </w:r>
      <w:r w:rsidR="00F6331C" w:rsidRPr="00F6331C">
        <w:rPr>
          <w:rFonts w:ascii="Franklin Gothic Book" w:eastAsia="Calibri" w:hAnsi="Franklin Gothic Book" w:cs="Times New Roman"/>
        </w:rPr>
        <w:t xml:space="preserve"> </w:t>
      </w:r>
      <w:r w:rsidR="00F6331C" w:rsidRPr="008D5FE8">
        <w:rPr>
          <w:rFonts w:ascii="Franklin Gothic Book" w:eastAsia="Calibri" w:hAnsi="Franklin Gothic Book" w:cs="Times New Roman"/>
        </w:rPr>
        <w:t xml:space="preserve">with significant </w:t>
      </w:r>
      <w:r w:rsidR="00F6331C">
        <w:rPr>
          <w:rFonts w:ascii="Franklin Gothic Book" w:eastAsia="Calibri" w:hAnsi="Franklin Gothic Book" w:cs="Times New Roman"/>
        </w:rPr>
        <w:t xml:space="preserve">job and </w:t>
      </w:r>
      <w:r w:rsidR="00F6331C" w:rsidRPr="008D5FE8">
        <w:rPr>
          <w:rFonts w:ascii="Franklin Gothic Book" w:eastAsia="Calibri" w:hAnsi="Franklin Gothic Book" w:cs="Times New Roman"/>
        </w:rPr>
        <w:t>revenue losses</w:t>
      </w:r>
      <w:r w:rsidR="00F6331C">
        <w:rPr>
          <w:rFonts w:ascii="Franklin Gothic Book" w:eastAsia="Calibri" w:hAnsi="Franklin Gothic Book" w:cs="Times New Roman"/>
        </w:rPr>
        <w:t>.</w:t>
      </w:r>
      <w:r w:rsidRPr="008D5FE8">
        <w:rPr>
          <w:rFonts w:ascii="Franklin Gothic Book" w:eastAsia="Calibri" w:hAnsi="Franklin Gothic Book" w:cs="Times New Roman"/>
        </w:rPr>
        <w:t xml:space="preserve">  </w:t>
      </w:r>
      <w:r w:rsidR="00F6331C">
        <w:rPr>
          <w:rFonts w:ascii="Franklin Gothic Book" w:eastAsia="Calibri" w:hAnsi="Franklin Gothic Book" w:cs="Times New Roman"/>
        </w:rPr>
        <w:t>On the sporting front</w:t>
      </w:r>
      <w:r w:rsidR="00121631">
        <w:rPr>
          <w:rFonts w:ascii="Franklin Gothic Book" w:eastAsia="Calibri" w:hAnsi="Franklin Gothic Book" w:cs="Times New Roman"/>
        </w:rPr>
        <w:t>,</w:t>
      </w:r>
      <w:r w:rsidR="00EE0AE4">
        <w:rPr>
          <w:rFonts w:ascii="Franklin Gothic Book" w:eastAsia="Calibri" w:hAnsi="Franklin Gothic Book" w:cs="Times New Roman"/>
        </w:rPr>
        <w:t xml:space="preserve"> the </w:t>
      </w:r>
      <w:r w:rsidRPr="008D5FE8">
        <w:rPr>
          <w:rFonts w:ascii="Franklin Gothic Book" w:eastAsia="Calibri" w:hAnsi="Franklin Gothic Book" w:cs="Times New Roman"/>
        </w:rPr>
        <w:t xml:space="preserve">Tokyo 2020 Olympics, </w:t>
      </w:r>
      <w:r w:rsidR="00F66E0F">
        <w:rPr>
          <w:rFonts w:ascii="Franklin Gothic Book" w:eastAsia="Calibri" w:hAnsi="Franklin Gothic Book" w:cs="Times New Roman"/>
        </w:rPr>
        <w:t>t</w:t>
      </w:r>
      <w:r w:rsidRPr="008D5FE8">
        <w:rPr>
          <w:rFonts w:ascii="Franklin Gothic Book" w:eastAsia="Calibri" w:hAnsi="Franklin Gothic Book" w:cs="Times New Roman"/>
        </w:rPr>
        <w:t>he French Open</w:t>
      </w:r>
      <w:r w:rsidR="00F66E0F">
        <w:rPr>
          <w:rFonts w:ascii="Franklin Gothic Book" w:eastAsia="Calibri" w:hAnsi="Franklin Gothic Book" w:cs="Times New Roman"/>
        </w:rPr>
        <w:t xml:space="preserve"> as well as </w:t>
      </w:r>
      <w:r w:rsidRPr="008D5FE8">
        <w:rPr>
          <w:rFonts w:ascii="Franklin Gothic Book" w:eastAsia="Calibri" w:hAnsi="Franklin Gothic Book" w:cs="Times New Roman"/>
        </w:rPr>
        <w:t>popular football leagues such as the English Premier league, the Spanish La Liga, the Bundesliga and Italy’s Serie</w:t>
      </w:r>
      <w:r w:rsidR="00121631">
        <w:rPr>
          <w:rFonts w:ascii="Franklin Gothic Book" w:eastAsia="Calibri" w:hAnsi="Franklin Gothic Book" w:cs="Times New Roman"/>
        </w:rPr>
        <w:t xml:space="preserve"> were cancelled</w:t>
      </w:r>
      <w:r w:rsidR="00F66E0F">
        <w:rPr>
          <w:rFonts w:ascii="Franklin Gothic Book" w:eastAsia="Calibri" w:hAnsi="Franklin Gothic Book" w:cs="Times New Roman"/>
        </w:rPr>
        <w:t xml:space="preserve">. </w:t>
      </w:r>
      <w:r w:rsidRPr="008D5FE8">
        <w:rPr>
          <w:rFonts w:ascii="Franklin Gothic Book" w:eastAsia="Calibri" w:hAnsi="Franklin Gothic Book" w:cs="Times New Roman"/>
        </w:rPr>
        <w:t xml:space="preserve"> </w:t>
      </w:r>
      <w:r w:rsidR="007E523E">
        <w:rPr>
          <w:rFonts w:ascii="Franklin Gothic Book" w:eastAsia="Calibri" w:hAnsi="Franklin Gothic Book" w:cs="Times New Roman"/>
        </w:rPr>
        <w:t xml:space="preserve">Critical international </w:t>
      </w:r>
      <w:r w:rsidR="00F6331C">
        <w:rPr>
          <w:rFonts w:ascii="Franklin Gothic Book" w:eastAsia="Calibri" w:hAnsi="Franklin Gothic Book" w:cs="Times New Roman"/>
        </w:rPr>
        <w:t>conferences that include t</w:t>
      </w:r>
      <w:r w:rsidRPr="008D5FE8">
        <w:rPr>
          <w:rFonts w:ascii="Franklin Gothic Book" w:eastAsia="Calibri" w:hAnsi="Franklin Gothic Book" w:cs="Times New Roman"/>
        </w:rPr>
        <w:t>he 46</w:t>
      </w:r>
      <w:r w:rsidRPr="008D5FE8">
        <w:rPr>
          <w:rFonts w:ascii="Franklin Gothic Book" w:eastAsia="Calibri" w:hAnsi="Franklin Gothic Book" w:cs="Times New Roman"/>
          <w:vertAlign w:val="superscript"/>
        </w:rPr>
        <w:t>th</w:t>
      </w:r>
      <w:r w:rsidRPr="008D5FE8">
        <w:rPr>
          <w:rFonts w:ascii="Franklin Gothic Book" w:eastAsia="Calibri" w:hAnsi="Franklin Gothic Book" w:cs="Times New Roman"/>
        </w:rPr>
        <w:t xml:space="preserve"> G7 Summit which was scheduled for June 2020, in the United States, will now be held via video conference while the 36</w:t>
      </w:r>
      <w:r w:rsidRPr="008D5FE8">
        <w:rPr>
          <w:rFonts w:ascii="Franklin Gothic Book" w:eastAsia="Calibri" w:hAnsi="Franklin Gothic Book" w:cs="Times New Roman"/>
          <w:vertAlign w:val="superscript"/>
        </w:rPr>
        <w:t>th</w:t>
      </w:r>
      <w:r w:rsidRPr="008D5FE8">
        <w:rPr>
          <w:rFonts w:ascii="Franklin Gothic Book" w:eastAsia="Calibri" w:hAnsi="Franklin Gothic Book" w:cs="Times New Roman"/>
        </w:rPr>
        <w:t xml:space="preserve"> ASEAN Summit which was due to take place </w:t>
      </w:r>
      <w:r w:rsidR="00BC606F" w:rsidRPr="005603C8">
        <w:rPr>
          <w:rFonts w:ascii="Franklin Gothic Book" w:eastAsia="Calibri" w:hAnsi="Franklin Gothic Book" w:cs="Times New Roman"/>
        </w:rPr>
        <w:t xml:space="preserve">in </w:t>
      </w:r>
      <w:r w:rsidRPr="008D5FE8">
        <w:rPr>
          <w:rFonts w:ascii="Franklin Gothic Book" w:eastAsia="Calibri" w:hAnsi="Franklin Gothic Book" w:cs="Times New Roman"/>
        </w:rPr>
        <w:t>April</w:t>
      </w:r>
      <w:r w:rsidR="00BC606F" w:rsidRPr="005603C8">
        <w:rPr>
          <w:rFonts w:ascii="Franklin Gothic Book" w:eastAsia="Calibri" w:hAnsi="Franklin Gothic Book" w:cs="Times New Roman"/>
        </w:rPr>
        <w:t xml:space="preserve"> </w:t>
      </w:r>
      <w:r w:rsidRPr="008D5FE8">
        <w:rPr>
          <w:rFonts w:ascii="Franklin Gothic Book" w:eastAsia="Calibri" w:hAnsi="Franklin Gothic Book" w:cs="Times New Roman"/>
        </w:rPr>
        <w:t>2020 has been postponed</w:t>
      </w:r>
      <w:r w:rsidR="00F6331C">
        <w:rPr>
          <w:rFonts w:ascii="Franklin Gothic Book" w:eastAsia="Calibri" w:hAnsi="Franklin Gothic Book" w:cs="Times New Roman"/>
        </w:rPr>
        <w:t xml:space="preserve"> indefinitely</w:t>
      </w:r>
      <w:r w:rsidRPr="008D5FE8">
        <w:rPr>
          <w:rFonts w:ascii="Franklin Gothic Book" w:eastAsia="Calibri" w:hAnsi="Franklin Gothic Book" w:cs="Times New Roman"/>
        </w:rPr>
        <w:t xml:space="preserve">. </w:t>
      </w:r>
      <w:r w:rsidR="007E523E">
        <w:rPr>
          <w:rFonts w:ascii="Franklin Gothic Book" w:eastAsia="Calibri" w:hAnsi="Franklin Gothic Book" w:cs="Times New Roman"/>
        </w:rPr>
        <w:t>At</w:t>
      </w:r>
      <w:r w:rsidR="00F6331C">
        <w:rPr>
          <w:rFonts w:ascii="Franklin Gothic Book" w:eastAsia="Calibri" w:hAnsi="Franklin Gothic Book" w:cs="Times New Roman"/>
        </w:rPr>
        <w:t xml:space="preserve"> home</w:t>
      </w:r>
      <w:r w:rsidRPr="008D5FE8">
        <w:rPr>
          <w:rFonts w:ascii="Franklin Gothic Book" w:eastAsia="Calibri" w:hAnsi="Franklin Gothic Book" w:cs="Times New Roman"/>
        </w:rPr>
        <w:t xml:space="preserve">, the 2020 Zimbabwe International Trade Fair </w:t>
      </w:r>
      <w:r w:rsidR="00BC606F" w:rsidRPr="005603C8">
        <w:rPr>
          <w:rFonts w:ascii="Franklin Gothic Book" w:eastAsia="Calibri" w:hAnsi="Franklin Gothic Book" w:cs="Times New Roman"/>
        </w:rPr>
        <w:t xml:space="preserve">(ZITF) </w:t>
      </w:r>
      <w:r w:rsidRPr="008D5FE8">
        <w:rPr>
          <w:rFonts w:ascii="Franklin Gothic Book" w:eastAsia="Calibri" w:hAnsi="Franklin Gothic Book" w:cs="Times New Roman"/>
        </w:rPr>
        <w:t xml:space="preserve">and </w:t>
      </w:r>
      <w:r w:rsidR="00F6331C">
        <w:rPr>
          <w:rFonts w:ascii="Franklin Gothic Book" w:eastAsia="Calibri" w:hAnsi="Franklin Gothic Book" w:cs="Times New Roman"/>
        </w:rPr>
        <w:t xml:space="preserve">the </w:t>
      </w:r>
      <w:r w:rsidRPr="008D5FE8">
        <w:rPr>
          <w:rFonts w:ascii="Franklin Gothic Book" w:eastAsia="Calibri" w:hAnsi="Franklin Gothic Book" w:cs="Times New Roman"/>
        </w:rPr>
        <w:t>Premier Soccer League matches were postponed</w:t>
      </w:r>
      <w:r w:rsidR="00121631">
        <w:rPr>
          <w:rFonts w:ascii="Franklin Gothic Book" w:eastAsia="Calibri" w:hAnsi="Franklin Gothic Book" w:cs="Times New Roman"/>
        </w:rPr>
        <w:t xml:space="preserve"> a</w:t>
      </w:r>
      <w:r w:rsidR="007E523E">
        <w:rPr>
          <w:rFonts w:ascii="Franklin Gothic Book" w:eastAsia="Calibri" w:hAnsi="Franklin Gothic Book" w:cs="Times New Roman"/>
        </w:rPr>
        <w:t>l</w:t>
      </w:r>
      <w:r w:rsidR="00121631">
        <w:rPr>
          <w:rFonts w:ascii="Franklin Gothic Book" w:eastAsia="Calibri" w:hAnsi="Franklin Gothic Book" w:cs="Times New Roman"/>
        </w:rPr>
        <w:t>s</w:t>
      </w:r>
      <w:r w:rsidR="007E523E">
        <w:rPr>
          <w:rFonts w:ascii="Franklin Gothic Book" w:eastAsia="Calibri" w:hAnsi="Franklin Gothic Book" w:cs="Times New Roman"/>
        </w:rPr>
        <w:t>o</w:t>
      </w:r>
      <w:r w:rsidR="00121631">
        <w:rPr>
          <w:rFonts w:ascii="Franklin Gothic Book" w:eastAsia="Calibri" w:hAnsi="Franklin Gothic Book" w:cs="Times New Roman"/>
        </w:rPr>
        <w:t xml:space="preserve"> with significant direct and </w:t>
      </w:r>
      <w:r w:rsidR="007E523E">
        <w:rPr>
          <w:rFonts w:ascii="Franklin Gothic Book" w:eastAsia="Calibri" w:hAnsi="Franklin Gothic Book" w:cs="Times New Roman"/>
        </w:rPr>
        <w:t xml:space="preserve">indirect losses and </w:t>
      </w:r>
      <w:r w:rsidR="00121631">
        <w:rPr>
          <w:rFonts w:ascii="Franklin Gothic Book" w:eastAsia="Calibri" w:hAnsi="Franklin Gothic Book" w:cs="Times New Roman"/>
        </w:rPr>
        <w:t>costs on revenue, jobs and potential investment</w:t>
      </w:r>
      <w:r w:rsidR="00F6331C">
        <w:rPr>
          <w:rFonts w:ascii="Franklin Gothic Book" w:eastAsia="Calibri" w:hAnsi="Franklin Gothic Book" w:cs="Times New Roman"/>
        </w:rPr>
        <w:t>.</w:t>
      </w:r>
      <w:r w:rsidRPr="008D5FE8">
        <w:rPr>
          <w:rFonts w:ascii="Franklin Gothic Book" w:eastAsia="Calibri" w:hAnsi="Franklin Gothic Book" w:cs="Times New Roman"/>
        </w:rPr>
        <w:t xml:space="preserve"> The country’s independence celebrations previously scheduled for April 18; a major event for the country since </w:t>
      </w:r>
      <w:r w:rsidR="00121631">
        <w:rPr>
          <w:rFonts w:ascii="Franklin Gothic Book" w:eastAsia="Calibri" w:hAnsi="Franklin Gothic Book" w:cs="Times New Roman"/>
        </w:rPr>
        <w:t xml:space="preserve">attainment of </w:t>
      </w:r>
      <w:r w:rsidRPr="008D5FE8">
        <w:rPr>
          <w:rFonts w:ascii="Franklin Gothic Book" w:eastAsia="Calibri" w:hAnsi="Franklin Gothic Book" w:cs="Times New Roman"/>
        </w:rPr>
        <w:t xml:space="preserve">independence in 1980, were also cancelled. </w:t>
      </w:r>
    </w:p>
    <w:p w14:paraId="023122F3" w14:textId="44F9CDD3"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 xml:space="preserve">As of 05 </w:t>
      </w:r>
      <w:r w:rsidR="00BC606F" w:rsidRPr="005603C8">
        <w:rPr>
          <w:rFonts w:ascii="Franklin Gothic Book" w:eastAsia="Calibri" w:hAnsi="Franklin Gothic Book" w:cs="Times New Roman"/>
        </w:rPr>
        <w:t>April 2020</w:t>
      </w:r>
      <w:r w:rsidRPr="008D5FE8">
        <w:rPr>
          <w:rFonts w:ascii="Franklin Gothic Book" w:eastAsia="Calibri" w:hAnsi="Franklin Gothic Book" w:cs="Times New Roman"/>
        </w:rPr>
        <w:t xml:space="preserve">, there were </w:t>
      </w:r>
      <w:r w:rsidR="00BC606F" w:rsidRPr="005603C8">
        <w:rPr>
          <w:rFonts w:ascii="Franklin Gothic Book" w:eastAsia="Calibri" w:hAnsi="Franklin Gothic Book" w:cs="Times New Roman"/>
        </w:rPr>
        <w:t>1,174,652 confirmed</w:t>
      </w:r>
      <w:r w:rsidRPr="008D5FE8">
        <w:rPr>
          <w:rFonts w:ascii="Franklin Gothic Book" w:eastAsia="Calibri" w:hAnsi="Franklin Gothic Book" w:cs="Times New Roman"/>
        </w:rPr>
        <w:t xml:space="preserve"> cases of COVID-19 globally including 64,400 deaths</w:t>
      </w:r>
      <w:r w:rsidR="007E523E">
        <w:rPr>
          <w:rFonts w:ascii="Franklin Gothic Book" w:eastAsia="Calibri" w:hAnsi="Franklin Gothic Book" w:cs="Times New Roman"/>
        </w:rPr>
        <w:t>.</w:t>
      </w:r>
      <w:r w:rsidRPr="008D5FE8">
        <w:rPr>
          <w:rFonts w:ascii="Franklin Gothic Book" w:eastAsia="Calibri" w:hAnsi="Franklin Gothic Book" w:cs="Times New Roman"/>
        </w:rPr>
        <w:t xml:space="preserve"> Despite the </w:t>
      </w:r>
      <w:r w:rsidR="007E523E">
        <w:rPr>
          <w:rFonts w:ascii="Franklin Gothic Book" w:eastAsia="Calibri" w:hAnsi="Franklin Gothic Book" w:cs="Times New Roman"/>
        </w:rPr>
        <w:t xml:space="preserve">early </w:t>
      </w:r>
      <w:r w:rsidRPr="008D5FE8">
        <w:rPr>
          <w:rFonts w:ascii="Franklin Gothic Book" w:eastAsia="Calibri" w:hAnsi="Franklin Gothic Book" w:cs="Times New Roman"/>
        </w:rPr>
        <w:t xml:space="preserve">myth </w:t>
      </w:r>
      <w:r w:rsidR="007E523E">
        <w:rPr>
          <w:rFonts w:ascii="Franklin Gothic Book" w:eastAsia="Calibri" w:hAnsi="Franklin Gothic Book" w:cs="Times New Roman"/>
        </w:rPr>
        <w:t xml:space="preserve">among many in Africa </w:t>
      </w:r>
      <w:r w:rsidRPr="008D5FE8">
        <w:rPr>
          <w:rFonts w:ascii="Franklin Gothic Book" w:eastAsia="Calibri" w:hAnsi="Franklin Gothic Book" w:cs="Times New Roman"/>
        </w:rPr>
        <w:t xml:space="preserve">that the continent was going to be spared, the virus has already invaded the continent </w:t>
      </w:r>
      <w:r w:rsidR="007E523E">
        <w:rPr>
          <w:rFonts w:ascii="Franklin Gothic Book" w:eastAsia="Calibri" w:hAnsi="Franklin Gothic Book" w:cs="Times New Roman"/>
        </w:rPr>
        <w:t xml:space="preserve">and its </w:t>
      </w:r>
      <w:r w:rsidRPr="008D5FE8">
        <w:rPr>
          <w:rFonts w:ascii="Franklin Gothic Book" w:eastAsia="Calibri" w:hAnsi="Franklin Gothic Book" w:cs="Times New Roman"/>
        </w:rPr>
        <w:t xml:space="preserve">level of preparedness is still to be tested as the number of infections and deaths increase. The numbers for the </w:t>
      </w:r>
      <w:r w:rsidR="007E523E">
        <w:rPr>
          <w:rFonts w:ascii="Franklin Gothic Book" w:eastAsia="Calibri" w:hAnsi="Franklin Gothic Book" w:cs="Times New Roman"/>
        </w:rPr>
        <w:t>continent</w:t>
      </w:r>
      <w:r w:rsidR="00F50C35">
        <w:rPr>
          <w:rFonts w:ascii="Franklin Gothic Book" w:eastAsia="Calibri" w:hAnsi="Franklin Gothic Book" w:cs="Times New Roman"/>
        </w:rPr>
        <w:t xml:space="preserve"> had reached</w:t>
      </w:r>
      <w:r w:rsidRPr="008D5FE8">
        <w:rPr>
          <w:rFonts w:ascii="Franklin Gothic Book" w:eastAsia="Calibri" w:hAnsi="Franklin Gothic Book" w:cs="Times New Roman"/>
        </w:rPr>
        <w:t xml:space="preserve"> 8,293 confirmed cases, with 61 deaths </w:t>
      </w:r>
      <w:r w:rsidR="00F50C35">
        <w:rPr>
          <w:rFonts w:ascii="Franklin Gothic Book" w:eastAsia="Calibri" w:hAnsi="Franklin Gothic Book" w:cs="Times New Roman"/>
        </w:rPr>
        <w:t>as of the 5</w:t>
      </w:r>
      <w:r w:rsidR="00F50C35" w:rsidRPr="00F50C35">
        <w:rPr>
          <w:rFonts w:ascii="Franklin Gothic Book" w:eastAsia="Calibri" w:hAnsi="Franklin Gothic Book" w:cs="Times New Roman"/>
          <w:vertAlign w:val="superscript"/>
        </w:rPr>
        <w:t>th</w:t>
      </w:r>
      <w:r w:rsidR="00F50C35">
        <w:rPr>
          <w:rFonts w:ascii="Franklin Gothic Book" w:eastAsia="Calibri" w:hAnsi="Franklin Gothic Book" w:cs="Times New Roman"/>
        </w:rPr>
        <w:t xml:space="preserve"> of April 2020</w:t>
      </w:r>
      <w:r w:rsidRPr="008D5FE8">
        <w:rPr>
          <w:rFonts w:ascii="Franklin Gothic Book" w:eastAsia="Calibri" w:hAnsi="Franklin Gothic Book" w:cs="Times New Roman"/>
        </w:rPr>
        <w:t xml:space="preserve">. Zimbabwe is among the African countries with slow </w:t>
      </w:r>
      <w:r w:rsidR="00F50C35">
        <w:rPr>
          <w:rFonts w:ascii="Franklin Gothic Book" w:eastAsia="Calibri" w:hAnsi="Franklin Gothic Book" w:cs="Times New Roman"/>
        </w:rPr>
        <w:t xml:space="preserve">and low rates of </w:t>
      </w:r>
      <w:r w:rsidRPr="008D5FE8">
        <w:rPr>
          <w:rFonts w:ascii="Franklin Gothic Book" w:eastAsia="Calibri" w:hAnsi="Franklin Gothic Book" w:cs="Times New Roman"/>
        </w:rPr>
        <w:t xml:space="preserve">infection </w:t>
      </w:r>
      <w:r w:rsidR="00F50C35">
        <w:rPr>
          <w:rFonts w:ascii="Franklin Gothic Book" w:eastAsia="Calibri" w:hAnsi="Franklin Gothic Book" w:cs="Times New Roman"/>
        </w:rPr>
        <w:t xml:space="preserve">and deaths since the beginning of the outbreak </w:t>
      </w:r>
      <w:r w:rsidRPr="008D5FE8">
        <w:rPr>
          <w:rFonts w:ascii="Franklin Gothic Book" w:eastAsia="Calibri" w:hAnsi="Franklin Gothic Book" w:cs="Times New Roman"/>
        </w:rPr>
        <w:t xml:space="preserve">compared with other </w:t>
      </w:r>
      <w:r w:rsidR="00F50C35">
        <w:rPr>
          <w:rFonts w:ascii="Franklin Gothic Book" w:eastAsia="Calibri" w:hAnsi="Franklin Gothic Book" w:cs="Times New Roman"/>
        </w:rPr>
        <w:t xml:space="preserve">African </w:t>
      </w:r>
      <w:r w:rsidR="00BC606F" w:rsidRPr="005603C8">
        <w:rPr>
          <w:rFonts w:ascii="Franklin Gothic Book" w:eastAsia="Calibri" w:hAnsi="Franklin Gothic Book" w:cs="Times New Roman"/>
        </w:rPr>
        <w:t>countries</w:t>
      </w:r>
      <w:r w:rsidR="00F50C35">
        <w:rPr>
          <w:rFonts w:ascii="Franklin Gothic Book" w:eastAsia="Calibri" w:hAnsi="Franklin Gothic Book" w:cs="Times New Roman"/>
        </w:rPr>
        <w:t xml:space="preserve"> that include </w:t>
      </w:r>
      <w:r w:rsidRPr="008D5FE8">
        <w:rPr>
          <w:rFonts w:ascii="Franklin Gothic Book" w:eastAsia="Calibri" w:hAnsi="Franklin Gothic Book" w:cs="Times New Roman"/>
        </w:rPr>
        <w:t xml:space="preserve">South Africa </w:t>
      </w:r>
      <w:r w:rsidR="00F50C35">
        <w:rPr>
          <w:rFonts w:ascii="Franklin Gothic Book" w:eastAsia="Calibri" w:hAnsi="Franklin Gothic Book" w:cs="Times New Roman"/>
        </w:rPr>
        <w:t xml:space="preserve">with </w:t>
      </w:r>
      <w:r w:rsidRPr="008D5FE8">
        <w:rPr>
          <w:rFonts w:ascii="Franklin Gothic Book" w:eastAsia="Calibri" w:hAnsi="Franklin Gothic Book" w:cs="Times New Roman"/>
        </w:rPr>
        <w:t xml:space="preserve">1 585, Algeria </w:t>
      </w:r>
      <w:r w:rsidR="00F50C35">
        <w:rPr>
          <w:rFonts w:ascii="Franklin Gothic Book" w:eastAsia="Calibri" w:hAnsi="Franklin Gothic Book" w:cs="Times New Roman"/>
        </w:rPr>
        <w:t xml:space="preserve">with </w:t>
      </w:r>
      <w:r w:rsidRPr="008D5FE8">
        <w:rPr>
          <w:rFonts w:ascii="Franklin Gothic Book" w:eastAsia="Calibri" w:hAnsi="Franklin Gothic Book" w:cs="Times New Roman"/>
        </w:rPr>
        <w:t xml:space="preserve">1 300, Egypt </w:t>
      </w:r>
      <w:r w:rsidR="00F50C35">
        <w:rPr>
          <w:rFonts w:ascii="Franklin Gothic Book" w:eastAsia="Calibri" w:hAnsi="Franklin Gothic Book" w:cs="Times New Roman"/>
        </w:rPr>
        <w:t xml:space="preserve">with </w:t>
      </w:r>
      <w:r w:rsidRPr="008D5FE8">
        <w:rPr>
          <w:rFonts w:ascii="Franklin Gothic Book" w:eastAsia="Calibri" w:hAnsi="Franklin Gothic Book" w:cs="Times New Roman"/>
        </w:rPr>
        <w:t xml:space="preserve">985, Morocco </w:t>
      </w:r>
      <w:r w:rsidR="00F50C35">
        <w:rPr>
          <w:rFonts w:ascii="Franklin Gothic Book" w:eastAsia="Calibri" w:hAnsi="Franklin Gothic Book" w:cs="Times New Roman"/>
        </w:rPr>
        <w:t xml:space="preserve">with </w:t>
      </w:r>
      <w:r w:rsidRPr="008D5FE8">
        <w:rPr>
          <w:rFonts w:ascii="Franklin Gothic Book" w:eastAsia="Calibri" w:hAnsi="Franklin Gothic Book" w:cs="Times New Roman"/>
        </w:rPr>
        <w:t xml:space="preserve">919, Cameroon </w:t>
      </w:r>
      <w:r w:rsidR="00F50C35">
        <w:rPr>
          <w:rFonts w:ascii="Franklin Gothic Book" w:eastAsia="Calibri" w:hAnsi="Franklin Gothic Book" w:cs="Times New Roman"/>
        </w:rPr>
        <w:t xml:space="preserve">with </w:t>
      </w:r>
      <w:r w:rsidRPr="008D5FE8">
        <w:rPr>
          <w:rFonts w:ascii="Franklin Gothic Book" w:eastAsia="Calibri" w:hAnsi="Franklin Gothic Book" w:cs="Times New Roman"/>
        </w:rPr>
        <w:t>555</w:t>
      </w:r>
      <w:r w:rsidR="00F50C35">
        <w:rPr>
          <w:rFonts w:ascii="Franklin Gothic Book" w:eastAsia="Calibri" w:hAnsi="Franklin Gothic Book" w:cs="Times New Roman"/>
        </w:rPr>
        <w:t xml:space="preserve"> and</w:t>
      </w:r>
      <w:r w:rsidRPr="008D5FE8">
        <w:rPr>
          <w:rFonts w:ascii="Franklin Gothic Book" w:eastAsia="Calibri" w:hAnsi="Franklin Gothic Book" w:cs="Times New Roman"/>
        </w:rPr>
        <w:t xml:space="preserve"> Tunisia </w:t>
      </w:r>
      <w:r w:rsidR="00F50C35">
        <w:rPr>
          <w:rFonts w:ascii="Franklin Gothic Book" w:eastAsia="Calibri" w:hAnsi="Franklin Gothic Book" w:cs="Times New Roman"/>
        </w:rPr>
        <w:t xml:space="preserve">with </w:t>
      </w:r>
      <w:r w:rsidRPr="008D5FE8">
        <w:rPr>
          <w:rFonts w:ascii="Franklin Gothic Book" w:eastAsia="Calibri" w:hAnsi="Franklin Gothic Book" w:cs="Times New Roman"/>
        </w:rPr>
        <w:t>495</w:t>
      </w:r>
      <w:r w:rsidR="00F50C35">
        <w:rPr>
          <w:rFonts w:ascii="Franklin Gothic Book" w:eastAsia="Calibri" w:hAnsi="Franklin Gothic Book" w:cs="Times New Roman"/>
        </w:rPr>
        <w:t xml:space="preserve"> cases.</w:t>
      </w:r>
      <w:r w:rsidRPr="008D5FE8">
        <w:rPr>
          <w:rFonts w:ascii="Franklin Gothic Book" w:eastAsia="Calibri" w:hAnsi="Franklin Gothic Book" w:cs="Times New Roman"/>
        </w:rPr>
        <w:t xml:space="preserve"> The country had its first confirmed infections in March 2020 and since then, </w:t>
      </w:r>
      <w:r w:rsidR="00BC606F" w:rsidRPr="005603C8">
        <w:rPr>
          <w:rFonts w:ascii="Franklin Gothic Book" w:eastAsia="Calibri" w:hAnsi="Franklin Gothic Book" w:cs="Times New Roman"/>
        </w:rPr>
        <w:t>the number</w:t>
      </w:r>
      <w:r w:rsidRPr="008D5FE8">
        <w:rPr>
          <w:rFonts w:ascii="Franklin Gothic Book" w:eastAsia="Calibri" w:hAnsi="Franklin Gothic Book" w:cs="Times New Roman"/>
        </w:rPr>
        <w:t xml:space="preserve"> of confirmed infections </w:t>
      </w:r>
      <w:r w:rsidR="0007228C">
        <w:rPr>
          <w:rFonts w:ascii="Franklin Gothic Book" w:eastAsia="Calibri" w:hAnsi="Franklin Gothic Book" w:cs="Times New Roman"/>
        </w:rPr>
        <w:t>is at 11.</w:t>
      </w:r>
      <w:r w:rsidRPr="008D5FE8">
        <w:rPr>
          <w:rFonts w:ascii="Franklin Gothic Book" w:eastAsia="Calibri" w:hAnsi="Franklin Gothic Book" w:cs="Times New Roman"/>
        </w:rPr>
        <w:t xml:space="preserve"> However, there are fears of </w:t>
      </w:r>
      <w:r w:rsidR="00F50C35">
        <w:rPr>
          <w:rFonts w:ascii="Franklin Gothic Book" w:eastAsia="Calibri" w:hAnsi="Franklin Gothic Book" w:cs="Times New Roman"/>
        </w:rPr>
        <w:t xml:space="preserve">inadequate preparedness for the country should the rate of </w:t>
      </w:r>
      <w:r w:rsidRPr="008D5FE8">
        <w:rPr>
          <w:rFonts w:ascii="Franklin Gothic Book" w:eastAsia="Calibri" w:hAnsi="Franklin Gothic Book" w:cs="Times New Roman"/>
        </w:rPr>
        <w:t>infection accelerat</w:t>
      </w:r>
      <w:r w:rsidR="00F50C35">
        <w:rPr>
          <w:rFonts w:ascii="Franklin Gothic Book" w:eastAsia="Calibri" w:hAnsi="Franklin Gothic Book" w:cs="Times New Roman"/>
        </w:rPr>
        <w:t>e</w:t>
      </w:r>
      <w:r w:rsidRPr="008D5FE8">
        <w:rPr>
          <w:rFonts w:ascii="Franklin Gothic Book" w:eastAsia="Calibri" w:hAnsi="Franklin Gothic Book" w:cs="Times New Roman"/>
        </w:rPr>
        <w:t xml:space="preserve">. </w:t>
      </w:r>
      <w:r w:rsidR="00F50C35">
        <w:rPr>
          <w:rFonts w:ascii="Franklin Gothic Book" w:eastAsia="Calibri" w:hAnsi="Franklin Gothic Book" w:cs="Times New Roman"/>
        </w:rPr>
        <w:t xml:space="preserve">Already, there are 3 deaths from the pandemic. </w:t>
      </w:r>
      <w:r w:rsidRPr="008D5FE8">
        <w:rPr>
          <w:rFonts w:ascii="Franklin Gothic Book" w:eastAsia="Calibri" w:hAnsi="Franklin Gothic Book" w:cs="Times New Roman"/>
        </w:rPr>
        <w:t>China, which accounts for at least five percent of Zimbabwe’s foreign trade has been hit hard while South Africa which accounts for at least 40 percent of the country’s trade is among the most affected African countries; escalat</w:t>
      </w:r>
      <w:r w:rsidR="00180E31">
        <w:rPr>
          <w:rFonts w:ascii="Franklin Gothic Book" w:eastAsia="Calibri" w:hAnsi="Franklin Gothic Book" w:cs="Times New Roman"/>
        </w:rPr>
        <w:t>ing</w:t>
      </w:r>
      <w:r w:rsidRPr="008D5FE8">
        <w:rPr>
          <w:rFonts w:ascii="Franklin Gothic Book" w:eastAsia="Calibri" w:hAnsi="Franklin Gothic Book" w:cs="Times New Roman"/>
        </w:rPr>
        <w:t xml:space="preserve"> the fears on Zimbabwe with regard to </w:t>
      </w:r>
      <w:r w:rsidR="00180E31">
        <w:rPr>
          <w:rFonts w:ascii="Franklin Gothic Book" w:eastAsia="Calibri" w:hAnsi="Franklin Gothic Book" w:cs="Times New Roman"/>
        </w:rPr>
        <w:t xml:space="preserve">both </w:t>
      </w:r>
      <w:r w:rsidRPr="008D5FE8">
        <w:rPr>
          <w:rFonts w:ascii="Franklin Gothic Book" w:eastAsia="Calibri" w:hAnsi="Franklin Gothic Book" w:cs="Times New Roman"/>
        </w:rPr>
        <w:t>the spread of the virus a</w:t>
      </w:r>
      <w:r w:rsidR="00180E31">
        <w:rPr>
          <w:rFonts w:ascii="Franklin Gothic Book" w:eastAsia="Calibri" w:hAnsi="Franklin Gothic Book" w:cs="Times New Roman"/>
        </w:rPr>
        <w:t xml:space="preserve">nd the magnitude of the potential </w:t>
      </w:r>
      <w:r w:rsidRPr="008D5FE8">
        <w:rPr>
          <w:rFonts w:ascii="Franklin Gothic Book" w:eastAsia="Calibri" w:hAnsi="Franklin Gothic Book" w:cs="Times New Roman"/>
        </w:rPr>
        <w:t xml:space="preserve">negative trade shocks on the economy.  </w:t>
      </w:r>
    </w:p>
    <w:p w14:paraId="32167E59" w14:textId="6C2944E6"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Several measures have been put in place globally to control and reduce the spread of the</w:t>
      </w:r>
      <w:r w:rsidR="0067770F" w:rsidRPr="005603C8">
        <w:rPr>
          <w:rFonts w:ascii="Franklin Gothic Book" w:eastAsia="Calibri" w:hAnsi="Franklin Gothic Book" w:cs="Times New Roman"/>
        </w:rPr>
        <w:t xml:space="preserve">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pandemic, ranging from travel restriction and compulsory testing and quarantining for inbound </w:t>
      </w:r>
      <w:r w:rsidRPr="008D5FE8">
        <w:rPr>
          <w:rFonts w:ascii="Franklin Gothic Book" w:eastAsia="Calibri" w:hAnsi="Franklin Gothic Book" w:cs="Times New Roman"/>
        </w:rPr>
        <w:lastRenderedPageBreak/>
        <w:t>travellers</w:t>
      </w:r>
      <w:r w:rsidR="00BC606F" w:rsidRPr="005603C8">
        <w:rPr>
          <w:rFonts w:ascii="Franklin Gothic Book" w:eastAsia="Calibri" w:hAnsi="Franklin Gothic Book" w:cs="Times New Roman"/>
        </w:rPr>
        <w:t>;</w:t>
      </w:r>
      <w:r w:rsidRPr="008D5FE8">
        <w:rPr>
          <w:rFonts w:ascii="Franklin Gothic Book" w:eastAsia="Calibri" w:hAnsi="Franklin Gothic Book" w:cs="Times New Roman"/>
        </w:rPr>
        <w:t xml:space="preserve"> to complete closure of borders as well as banning of large gatherings and country lockdowns. The government of Zimbabwe instituted Statutory Instrument 77 of 2020 which introduced a blanket ban on large gatherings around recreational facilities such as night clubs, bars, beerhalls, movie houses, swimming pools, gymnasiums and sporting activities. The government also announced a 21-day national lockdown whose enforcement commenced on 30 March, 2020. </w:t>
      </w:r>
    </w:p>
    <w:p w14:paraId="23F9ED69" w14:textId="2C716382"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 xml:space="preserve">It is no doubt that the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outbreak and the subsequent measures to mitigate against it are already impacting the global economy. The impact is channelled through the effects of reduced global incomes, trade, investment, productivity and exports. The World Health Organization has noted that the adverse effects of the pandemic </w:t>
      </w:r>
      <w:r w:rsidR="00BC606F" w:rsidRPr="005603C8">
        <w:rPr>
          <w:rFonts w:ascii="Franklin Gothic Book" w:eastAsia="Calibri" w:hAnsi="Franklin Gothic Book" w:cs="Times New Roman"/>
        </w:rPr>
        <w:t>are</w:t>
      </w:r>
      <w:r w:rsidRPr="008D5FE8">
        <w:rPr>
          <w:rFonts w:ascii="Franklin Gothic Book" w:eastAsia="Calibri" w:hAnsi="Franklin Gothic Book" w:cs="Times New Roman"/>
        </w:rPr>
        <w:t xml:space="preserve"> likely to be </w:t>
      </w:r>
      <w:r w:rsidR="00631D1F">
        <w:rPr>
          <w:rFonts w:ascii="Franklin Gothic Book" w:eastAsia="Calibri" w:hAnsi="Franklin Gothic Book" w:cs="Times New Roman"/>
        </w:rPr>
        <w:t xml:space="preserve">larger and </w:t>
      </w:r>
      <w:r w:rsidRPr="008D5FE8">
        <w:rPr>
          <w:rFonts w:ascii="Franklin Gothic Book" w:eastAsia="Calibri" w:hAnsi="Franklin Gothic Book" w:cs="Times New Roman"/>
        </w:rPr>
        <w:t xml:space="preserve">magnified </w:t>
      </w:r>
      <w:r w:rsidR="00631D1F">
        <w:rPr>
          <w:rFonts w:ascii="Franklin Gothic Book" w:eastAsia="Calibri" w:hAnsi="Franklin Gothic Book" w:cs="Times New Roman"/>
        </w:rPr>
        <w:t xml:space="preserve">for </w:t>
      </w:r>
      <w:r w:rsidRPr="008D5FE8">
        <w:rPr>
          <w:rFonts w:ascii="Franklin Gothic Book" w:eastAsia="Calibri" w:hAnsi="Franklin Gothic Book" w:cs="Times New Roman"/>
        </w:rPr>
        <w:t>the highly indebted, fragile and poor countries in the developing world, where measures such as country lockdowns and social distancing are difficult to implement a</w:t>
      </w:r>
      <w:r w:rsidR="00631D1F">
        <w:rPr>
          <w:rFonts w:ascii="Franklin Gothic Book" w:eastAsia="Calibri" w:hAnsi="Franklin Gothic Book" w:cs="Times New Roman"/>
        </w:rPr>
        <w:t xml:space="preserve">nd where such measures are likely </w:t>
      </w:r>
      <w:r w:rsidRPr="008D5FE8">
        <w:rPr>
          <w:rFonts w:ascii="Franklin Gothic Book" w:eastAsia="Calibri" w:hAnsi="Franklin Gothic Book" w:cs="Times New Roman"/>
        </w:rPr>
        <w:t>to plunge the countr</w:t>
      </w:r>
      <w:r w:rsidR="00631D1F">
        <w:rPr>
          <w:rFonts w:ascii="Franklin Gothic Book" w:eastAsia="Calibri" w:hAnsi="Franklin Gothic Book" w:cs="Times New Roman"/>
        </w:rPr>
        <w:t>ies</w:t>
      </w:r>
      <w:r w:rsidRPr="008D5FE8">
        <w:rPr>
          <w:rFonts w:ascii="Franklin Gothic Book" w:eastAsia="Calibri" w:hAnsi="Franklin Gothic Book" w:cs="Times New Roman"/>
        </w:rPr>
        <w:t xml:space="preserve"> into further poverty. Zimbabwe cannot be spared from these challenges.</w:t>
      </w:r>
      <w:r w:rsidR="00BC606F" w:rsidRPr="005603C8">
        <w:rPr>
          <w:rFonts w:ascii="Franklin Gothic Book" w:eastAsia="Calibri" w:hAnsi="Franklin Gothic Book" w:cs="Times New Roman"/>
        </w:rPr>
        <w:t xml:space="preserve"> </w:t>
      </w:r>
      <w:r w:rsidRPr="008D5FE8">
        <w:rPr>
          <w:rFonts w:ascii="Franklin Gothic Book" w:eastAsia="Calibri" w:hAnsi="Franklin Gothic Book" w:cs="Times New Roman"/>
        </w:rPr>
        <w:t xml:space="preserve">This article seeks to assess the possible economic and social challenges of the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pandemic on Zimbabwe’s ec</w:t>
      </w:r>
      <w:r w:rsidR="00546134">
        <w:rPr>
          <w:rFonts w:ascii="Franklin Gothic Book" w:eastAsia="Calibri" w:hAnsi="Franklin Gothic Book" w:cs="Times New Roman"/>
        </w:rPr>
        <w:t>onomy, with special attention on</w:t>
      </w:r>
      <w:r w:rsidRPr="008D5FE8">
        <w:rPr>
          <w:rFonts w:ascii="Franklin Gothic Book" w:eastAsia="Calibri" w:hAnsi="Franklin Gothic Book" w:cs="Times New Roman"/>
        </w:rPr>
        <w:t xml:space="preserve"> its impact on trade, manufacturing, travel and tourism, the financial sector and the informal sector, including cross border trading</w:t>
      </w:r>
      <w:r w:rsidR="00BC606F" w:rsidRPr="005603C8">
        <w:rPr>
          <w:rFonts w:ascii="Franklin Gothic Book" w:eastAsia="Calibri" w:hAnsi="Franklin Gothic Book" w:cs="Times New Roman"/>
        </w:rPr>
        <w:t>,</w:t>
      </w:r>
      <w:r w:rsidRPr="008D5FE8">
        <w:rPr>
          <w:rFonts w:ascii="Franklin Gothic Book" w:eastAsia="Calibri" w:hAnsi="Franklin Gothic Book" w:cs="Times New Roman"/>
        </w:rPr>
        <w:t xml:space="preserve"> the micro to small and medium enterprises.</w:t>
      </w:r>
    </w:p>
    <w:p w14:paraId="46158DCA" w14:textId="77777777" w:rsidR="008D5FE8" w:rsidRPr="008D5FE8" w:rsidRDefault="008D5FE8" w:rsidP="008D5FE8">
      <w:pPr>
        <w:spacing w:before="240" w:line="360" w:lineRule="auto"/>
        <w:jc w:val="both"/>
        <w:rPr>
          <w:rFonts w:ascii="Franklin Gothic Book" w:eastAsia="Calibri" w:hAnsi="Franklin Gothic Book" w:cs="Times New Roman"/>
          <w:b/>
        </w:rPr>
      </w:pPr>
      <w:r w:rsidRPr="008D5FE8">
        <w:rPr>
          <w:rFonts w:ascii="Franklin Gothic Book" w:eastAsia="Calibri" w:hAnsi="Franklin Gothic Book" w:cs="Times New Roman"/>
          <w:b/>
        </w:rPr>
        <w:t>Impact on Trade and Exports</w:t>
      </w:r>
    </w:p>
    <w:p w14:paraId="43ED6483" w14:textId="5C1E5B06"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 xml:space="preserve">According to the </w:t>
      </w:r>
      <w:r w:rsidR="0042565E" w:rsidRPr="005603C8">
        <w:rPr>
          <w:rFonts w:ascii="Franklin Gothic Book" w:eastAsia="Calibri" w:hAnsi="Franklin Gothic Book" w:cs="Times New Roman"/>
        </w:rPr>
        <w:t xml:space="preserve">World Bank’s </w:t>
      </w:r>
      <w:r w:rsidRPr="008D5FE8">
        <w:rPr>
          <w:rFonts w:ascii="Franklin Gothic Book" w:eastAsia="Calibri" w:hAnsi="Franklin Gothic Book" w:cs="Times New Roman"/>
        </w:rPr>
        <w:t xml:space="preserve">World Development Indicators, world trade accounts for about 60 percent of the global Gross Domestic (GDP) or US$50 trillion. This means that 60 percent of the world output is either exported or imported and a decline in global output necessarily leads to a decline in trade. The Oxford Economics projects a decline in world output of at least US$1.1 trillion </w:t>
      </w:r>
      <w:r w:rsidR="0048606D">
        <w:rPr>
          <w:rFonts w:ascii="Franklin Gothic Book" w:eastAsia="Calibri" w:hAnsi="Franklin Gothic Book" w:cs="Times New Roman"/>
        </w:rPr>
        <w:t xml:space="preserve">in 2020 </w:t>
      </w:r>
      <w:r w:rsidRPr="008D5FE8">
        <w:rPr>
          <w:rFonts w:ascii="Franklin Gothic Book" w:eastAsia="Calibri" w:hAnsi="Franklin Gothic Book" w:cs="Times New Roman"/>
        </w:rPr>
        <w:t>while the I</w:t>
      </w:r>
      <w:r w:rsidR="00572E49" w:rsidRPr="005603C8">
        <w:rPr>
          <w:rFonts w:ascii="Franklin Gothic Book" w:eastAsia="Calibri" w:hAnsi="Franklin Gothic Book" w:cs="Times New Roman"/>
        </w:rPr>
        <w:t xml:space="preserve">nternational </w:t>
      </w:r>
      <w:r w:rsidRPr="008D5FE8">
        <w:rPr>
          <w:rFonts w:ascii="Franklin Gothic Book" w:eastAsia="Calibri" w:hAnsi="Franklin Gothic Book" w:cs="Times New Roman"/>
        </w:rPr>
        <w:t>M</w:t>
      </w:r>
      <w:r w:rsidR="00572E49" w:rsidRPr="005603C8">
        <w:rPr>
          <w:rFonts w:ascii="Franklin Gothic Book" w:eastAsia="Calibri" w:hAnsi="Franklin Gothic Book" w:cs="Times New Roman"/>
        </w:rPr>
        <w:t xml:space="preserve">onetary </w:t>
      </w:r>
      <w:r w:rsidRPr="008D5FE8">
        <w:rPr>
          <w:rFonts w:ascii="Franklin Gothic Book" w:eastAsia="Calibri" w:hAnsi="Franklin Gothic Book" w:cs="Times New Roman"/>
        </w:rPr>
        <w:t>F</w:t>
      </w:r>
      <w:r w:rsidR="00572E49" w:rsidRPr="005603C8">
        <w:rPr>
          <w:rFonts w:ascii="Franklin Gothic Book" w:eastAsia="Calibri" w:hAnsi="Franklin Gothic Book" w:cs="Times New Roman"/>
        </w:rPr>
        <w:t xml:space="preserve">und (IMF) </w:t>
      </w:r>
      <w:r w:rsidRPr="008D5FE8">
        <w:rPr>
          <w:rFonts w:ascii="Franklin Gothic Book" w:eastAsia="Calibri" w:hAnsi="Franklin Gothic Book" w:cs="Times New Roman"/>
        </w:rPr>
        <w:t>also point</w:t>
      </w:r>
      <w:r w:rsidR="0048606D">
        <w:rPr>
          <w:rFonts w:ascii="Franklin Gothic Book" w:eastAsia="Calibri" w:hAnsi="Franklin Gothic Book" w:cs="Times New Roman"/>
        </w:rPr>
        <w:t>s</w:t>
      </w:r>
      <w:r w:rsidRPr="008D5FE8">
        <w:rPr>
          <w:rFonts w:ascii="Franklin Gothic Book" w:eastAsia="Calibri" w:hAnsi="Franklin Gothic Book" w:cs="Times New Roman"/>
        </w:rPr>
        <w:t xml:space="preserve"> to a major decline slowdown in the world output from the initial </w:t>
      </w:r>
      <w:r w:rsidR="0048606D">
        <w:rPr>
          <w:rFonts w:ascii="Franklin Gothic Book" w:eastAsia="Calibri" w:hAnsi="Franklin Gothic Book" w:cs="Times New Roman"/>
        </w:rPr>
        <w:t xml:space="preserve">2020 </w:t>
      </w:r>
      <w:r w:rsidRPr="008D5FE8">
        <w:rPr>
          <w:rFonts w:ascii="Franklin Gothic Book" w:eastAsia="Calibri" w:hAnsi="Franklin Gothic Book" w:cs="Times New Roman"/>
        </w:rPr>
        <w:t xml:space="preserve">growth projection of 2.9 percent due to the effects of the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pandemic. Given the projected decline in world output, global trade will fall by at least US$700 billion, with countries that trade with the worst affected countries likely to be </w:t>
      </w:r>
      <w:r w:rsidR="0048606D">
        <w:rPr>
          <w:rFonts w:ascii="Franklin Gothic Book" w:eastAsia="Calibri" w:hAnsi="Franklin Gothic Book" w:cs="Times New Roman"/>
        </w:rPr>
        <w:t>affected more.</w:t>
      </w:r>
      <w:r w:rsidRPr="008D5FE8">
        <w:rPr>
          <w:rFonts w:ascii="Franklin Gothic Book" w:eastAsia="Calibri" w:hAnsi="Franklin Gothic Book" w:cs="Times New Roman"/>
        </w:rPr>
        <w:t xml:space="preserve"> </w:t>
      </w:r>
    </w:p>
    <w:p w14:paraId="0535BF2C" w14:textId="6A00E269"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The GDP for China, which is among Zimbabwe’s leading trade partners and one of the most affected countries by the COVID-19 pandemic, is projected to grow by 5.4 percent in 2020 down from</w:t>
      </w:r>
      <w:r w:rsidR="00572E49" w:rsidRPr="005603C8">
        <w:rPr>
          <w:rFonts w:ascii="Franklin Gothic Book" w:eastAsia="Calibri" w:hAnsi="Franklin Gothic Book" w:cs="Times New Roman"/>
        </w:rPr>
        <w:t xml:space="preserve"> </w:t>
      </w:r>
      <w:r w:rsidR="0048606D">
        <w:rPr>
          <w:rFonts w:ascii="Franklin Gothic Book" w:eastAsia="Calibri" w:hAnsi="Franklin Gothic Book" w:cs="Times New Roman"/>
        </w:rPr>
        <w:t>6</w:t>
      </w:r>
      <w:r w:rsidRPr="008D5FE8">
        <w:rPr>
          <w:rFonts w:ascii="Franklin Gothic Book" w:eastAsia="Calibri" w:hAnsi="Franklin Gothic Book" w:cs="Times New Roman"/>
        </w:rPr>
        <w:t xml:space="preserve"> percent in 2019. </w:t>
      </w:r>
      <w:r w:rsidR="0048606D">
        <w:rPr>
          <w:rFonts w:ascii="Franklin Gothic Book" w:eastAsia="Calibri" w:hAnsi="Franklin Gothic Book" w:cs="Times New Roman"/>
        </w:rPr>
        <w:t>Although</w:t>
      </w:r>
      <w:r w:rsidRPr="008D5FE8">
        <w:rPr>
          <w:rFonts w:ascii="Franklin Gothic Book" w:eastAsia="Calibri" w:hAnsi="Franklin Gothic Book" w:cs="Times New Roman"/>
        </w:rPr>
        <w:t xml:space="preserve"> China constitutes less than </w:t>
      </w:r>
      <w:r w:rsidR="0048606D">
        <w:rPr>
          <w:rFonts w:ascii="Franklin Gothic Book" w:eastAsia="Calibri" w:hAnsi="Franklin Gothic Book" w:cs="Times New Roman"/>
        </w:rPr>
        <w:t>5</w:t>
      </w:r>
      <w:r w:rsidRPr="008D5FE8">
        <w:rPr>
          <w:rFonts w:ascii="Franklin Gothic Book" w:eastAsia="Calibri" w:hAnsi="Franklin Gothic Book" w:cs="Times New Roman"/>
        </w:rPr>
        <w:t xml:space="preserve"> percent of Zimbabwe’s direct foreign trade, its indirect link to the country through its trade with Mozambique, South Africa, United Arab Emirates and Zambia, which have significant direct trade links </w:t>
      </w:r>
      <w:r w:rsidR="0048606D">
        <w:rPr>
          <w:rFonts w:ascii="Franklin Gothic Book" w:eastAsia="Calibri" w:hAnsi="Franklin Gothic Book" w:cs="Times New Roman"/>
        </w:rPr>
        <w:t>to</w:t>
      </w:r>
      <w:r w:rsidRPr="008D5FE8">
        <w:rPr>
          <w:rFonts w:ascii="Franklin Gothic Book" w:eastAsia="Calibri" w:hAnsi="Franklin Gothic Book" w:cs="Times New Roman"/>
        </w:rPr>
        <w:t xml:space="preserve"> Zimbabwe</w:t>
      </w:r>
      <w:r w:rsidR="00572E49" w:rsidRPr="005603C8">
        <w:rPr>
          <w:rFonts w:ascii="Franklin Gothic Book" w:eastAsia="Calibri" w:hAnsi="Franklin Gothic Book" w:cs="Times New Roman"/>
        </w:rPr>
        <w:t>,</w:t>
      </w:r>
      <w:r w:rsidRPr="008D5FE8">
        <w:rPr>
          <w:rFonts w:ascii="Franklin Gothic Book" w:eastAsia="Calibri" w:hAnsi="Franklin Gothic Book" w:cs="Times New Roman"/>
        </w:rPr>
        <w:t xml:space="preserve"> is significant. South Africa, which accounts for close to 70 percent of Zimbabwe’s exports, for example, has China as its top most export destination. China also ranks among the top </w:t>
      </w:r>
      <w:r w:rsidR="0048606D">
        <w:rPr>
          <w:rFonts w:ascii="Franklin Gothic Book" w:eastAsia="Calibri" w:hAnsi="Franklin Gothic Book" w:cs="Times New Roman"/>
        </w:rPr>
        <w:t>four</w:t>
      </w:r>
      <w:r w:rsidRPr="008D5FE8">
        <w:rPr>
          <w:rFonts w:ascii="Franklin Gothic Book" w:eastAsia="Calibri" w:hAnsi="Franklin Gothic Book" w:cs="Times New Roman"/>
        </w:rPr>
        <w:t xml:space="preserve"> export destinations for Mozambique, the UAE and Zambia, which collectively account for more than </w:t>
      </w:r>
      <w:r w:rsidR="0048606D">
        <w:rPr>
          <w:rFonts w:ascii="Franklin Gothic Book" w:eastAsia="Calibri" w:hAnsi="Franklin Gothic Book" w:cs="Times New Roman"/>
        </w:rPr>
        <w:t>10</w:t>
      </w:r>
      <w:r w:rsidRPr="008D5FE8">
        <w:rPr>
          <w:rFonts w:ascii="Franklin Gothic Book" w:eastAsia="Calibri" w:hAnsi="Franklin Gothic Book" w:cs="Times New Roman"/>
        </w:rPr>
        <w:t xml:space="preserve"> percent of Zimbabwe’s exports. </w:t>
      </w:r>
    </w:p>
    <w:p w14:paraId="7B5C3249" w14:textId="28BBC40E" w:rsidR="0048606D" w:rsidRDefault="0048606D" w:rsidP="0048606D">
      <w:pPr>
        <w:pStyle w:val="Caption"/>
        <w:rPr>
          <w:rFonts w:ascii="Franklin Gothic Book" w:hAnsi="Franklin Gothic Book"/>
          <w:i w:val="0"/>
          <w:iCs w:val="0"/>
          <w:sz w:val="22"/>
          <w:szCs w:val="22"/>
        </w:rPr>
      </w:pPr>
      <w:r w:rsidRPr="005603C8">
        <w:rPr>
          <w:rFonts w:ascii="Franklin Gothic Book" w:hAnsi="Franklin Gothic Book"/>
          <w:i w:val="0"/>
          <w:iCs w:val="0"/>
          <w:sz w:val="22"/>
          <w:szCs w:val="22"/>
        </w:rPr>
        <w:lastRenderedPageBreak/>
        <w:t xml:space="preserve">Figure </w:t>
      </w:r>
      <w:r w:rsidRPr="005603C8">
        <w:rPr>
          <w:rFonts w:ascii="Franklin Gothic Book" w:hAnsi="Franklin Gothic Book"/>
          <w:i w:val="0"/>
          <w:iCs w:val="0"/>
          <w:sz w:val="22"/>
          <w:szCs w:val="22"/>
        </w:rPr>
        <w:fldChar w:fldCharType="begin"/>
      </w:r>
      <w:r w:rsidRPr="005603C8">
        <w:rPr>
          <w:rFonts w:ascii="Franklin Gothic Book" w:hAnsi="Franklin Gothic Book"/>
          <w:i w:val="0"/>
          <w:iCs w:val="0"/>
          <w:sz w:val="22"/>
          <w:szCs w:val="22"/>
        </w:rPr>
        <w:instrText xml:space="preserve"> SEQ Figure \* ARABIC </w:instrText>
      </w:r>
      <w:r w:rsidRPr="005603C8">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1</w:t>
      </w:r>
      <w:r w:rsidRPr="005603C8">
        <w:rPr>
          <w:rFonts w:ascii="Franklin Gothic Book" w:hAnsi="Franklin Gothic Book"/>
          <w:i w:val="0"/>
          <w:iCs w:val="0"/>
          <w:sz w:val="22"/>
          <w:szCs w:val="22"/>
        </w:rPr>
        <w:fldChar w:fldCharType="end"/>
      </w:r>
      <w:r w:rsidRPr="005603C8">
        <w:rPr>
          <w:rFonts w:ascii="Franklin Gothic Book" w:hAnsi="Franklin Gothic Book"/>
          <w:i w:val="0"/>
          <w:iCs w:val="0"/>
          <w:sz w:val="22"/>
          <w:szCs w:val="22"/>
        </w:rPr>
        <w:t>: Zimbabwe's Export shares (2009-2019 Averages)</w:t>
      </w:r>
    </w:p>
    <w:p w14:paraId="465D09A1" w14:textId="77777777" w:rsidR="0048606D" w:rsidRPr="0048606D" w:rsidRDefault="0048606D" w:rsidP="0048606D"/>
    <w:p w14:paraId="26980DCC" w14:textId="77777777" w:rsidR="00572E49" w:rsidRPr="005603C8" w:rsidRDefault="008D5FE8" w:rsidP="00572E49">
      <w:pPr>
        <w:keepNext/>
        <w:spacing w:before="240" w:line="360" w:lineRule="auto"/>
        <w:jc w:val="center"/>
        <w:rPr>
          <w:rFonts w:ascii="Franklin Gothic Book" w:hAnsi="Franklin Gothic Book"/>
        </w:rPr>
      </w:pPr>
      <w:r w:rsidRPr="008D5FE8">
        <w:rPr>
          <w:rFonts w:ascii="Franklin Gothic Book" w:eastAsia="Calibri" w:hAnsi="Franklin Gothic Book" w:cs="Times New Roman"/>
          <w:noProof/>
          <w:lang w:eastAsia="en-ZW"/>
        </w:rPr>
        <w:drawing>
          <wp:inline distT="0" distB="0" distL="0" distR="0" wp14:anchorId="255138BC" wp14:editId="37FA47A9">
            <wp:extent cx="4591050" cy="2695575"/>
            <wp:effectExtent l="38100" t="0" r="3810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69ADDF8" w14:textId="3192D3CC" w:rsidR="008D5FE8" w:rsidRPr="008D5FE8" w:rsidRDefault="00572E49" w:rsidP="008D5FE8">
      <w:pPr>
        <w:spacing w:before="240" w:line="360" w:lineRule="auto"/>
        <w:jc w:val="both"/>
        <w:rPr>
          <w:rFonts w:ascii="Franklin Gothic Book" w:eastAsia="Calibri" w:hAnsi="Franklin Gothic Book" w:cs="Times New Roman"/>
        </w:rPr>
      </w:pPr>
      <w:r w:rsidRPr="005603C8">
        <w:rPr>
          <w:rFonts w:ascii="Franklin Gothic Book" w:eastAsia="Calibri" w:hAnsi="Franklin Gothic Book" w:cs="Times New Roman"/>
        </w:rPr>
        <w:t xml:space="preserve">Source: </w:t>
      </w:r>
      <w:r w:rsidR="008D5FE8" w:rsidRPr="008D5FE8">
        <w:rPr>
          <w:rFonts w:ascii="Franklin Gothic Book" w:eastAsia="Calibri" w:hAnsi="Franklin Gothic Book" w:cs="Times New Roman"/>
        </w:rPr>
        <w:t xml:space="preserve">IMF Direction of Trade </w:t>
      </w:r>
      <w:r w:rsidR="00724600" w:rsidRPr="005603C8">
        <w:rPr>
          <w:rFonts w:ascii="Franklin Gothic Book" w:eastAsia="Calibri" w:hAnsi="Franklin Gothic Book" w:cs="Times New Roman"/>
        </w:rPr>
        <w:t>Statistics</w:t>
      </w:r>
    </w:p>
    <w:p w14:paraId="4E423CBF" w14:textId="69DBD6EF"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The weakening of demand conditions in China due to its growth slowdown has far-reaching direct and indirect negative shocks on Zimbabwe’s exports and its foreign currency reserve position. The direct effects of the slowdown in South Africa’s GDP growth on the country’s exports can also not be undermined given that the country is the single most dominant trading partner for Zimbabwe accounting for 70 percent of Zimbabwe’s exports and 50 percent of its imports. Already the South Africa</w:t>
      </w:r>
      <w:r w:rsidR="00367ACD">
        <w:rPr>
          <w:rFonts w:ascii="Franklin Gothic Book" w:eastAsia="Calibri" w:hAnsi="Franklin Gothic Book" w:cs="Times New Roman"/>
        </w:rPr>
        <w:t>n</w:t>
      </w:r>
      <w:r w:rsidRPr="008D5FE8">
        <w:rPr>
          <w:rFonts w:ascii="Franklin Gothic Book" w:eastAsia="Calibri" w:hAnsi="Franklin Gothic Book" w:cs="Times New Roman"/>
        </w:rPr>
        <w:t xml:space="preserve"> Reserve Bank projects the country’s GDP to contract by </w:t>
      </w:r>
      <w:r w:rsidR="00C66619">
        <w:rPr>
          <w:rFonts w:ascii="Franklin Gothic Book" w:eastAsia="Calibri" w:hAnsi="Franklin Gothic Book" w:cs="Times New Roman"/>
        </w:rPr>
        <w:t xml:space="preserve">4 </w:t>
      </w:r>
      <w:r w:rsidRPr="008D5FE8">
        <w:rPr>
          <w:rFonts w:ascii="Franklin Gothic Book" w:eastAsia="Calibri" w:hAnsi="Franklin Gothic Book" w:cs="Times New Roman"/>
        </w:rPr>
        <w:t xml:space="preserve">percent due to weaker demand for exports and domestic goods and services, and supply chain disruptions on account of its strong linkages with China’s economy. </w:t>
      </w:r>
    </w:p>
    <w:p w14:paraId="5E215A6E" w14:textId="6BF2C111" w:rsidR="008D5FE8" w:rsidRPr="008D5FE8" w:rsidRDefault="008D5FE8" w:rsidP="007308C5">
      <w:pPr>
        <w:spacing w:line="360" w:lineRule="auto"/>
        <w:jc w:val="both"/>
        <w:rPr>
          <w:rFonts w:ascii="Franklin Gothic Book" w:eastAsia="Calibri" w:hAnsi="Franklin Gothic Book" w:cs="Times New Roman"/>
          <w:lang w:val="en-US"/>
        </w:rPr>
      </w:pPr>
      <w:r w:rsidRPr="008D5FE8">
        <w:rPr>
          <w:rFonts w:ascii="Franklin Gothic Book" w:eastAsia="Calibri" w:hAnsi="Franklin Gothic Book" w:cs="Times New Roman"/>
          <w:lang w:val="en-US"/>
        </w:rPr>
        <w:t>Zimbabwe is a resource-based economy with its export earnings mainly anchored on agricultural and mineral commodities; accounting for more than 60 percent of the country’s foreign currency earnings.</w:t>
      </w:r>
      <w:r w:rsidR="0048606D">
        <w:rPr>
          <w:rFonts w:ascii="Franklin Gothic Book" w:eastAsia="Calibri" w:hAnsi="Franklin Gothic Book" w:cs="Times New Roman"/>
          <w:lang w:val="en-US"/>
        </w:rPr>
        <w:t xml:space="preserve"> </w:t>
      </w:r>
      <w:r w:rsidR="0048606D" w:rsidRPr="008D5FE8">
        <w:rPr>
          <w:rFonts w:ascii="Franklin Gothic Book" w:eastAsia="Calibri" w:hAnsi="Franklin Gothic Book" w:cs="Times New Roman"/>
          <w:lang w:val="en-US"/>
        </w:rPr>
        <w:t xml:space="preserve">The country’s lockdown will directly impact on production in these important sectors, which will adversely impact on the down and upstream industries and firms in manufacturing, mineral and </w:t>
      </w:r>
      <w:proofErr w:type="spellStart"/>
      <w:r w:rsidR="0048606D" w:rsidRPr="008D5FE8">
        <w:rPr>
          <w:rFonts w:ascii="Franklin Gothic Book" w:eastAsia="Calibri" w:hAnsi="Franklin Gothic Book" w:cs="Times New Roman"/>
          <w:lang w:val="en-US"/>
        </w:rPr>
        <w:t>agro</w:t>
      </w:r>
      <w:proofErr w:type="spellEnd"/>
      <w:r w:rsidR="0048606D" w:rsidRPr="008D5FE8">
        <w:rPr>
          <w:rFonts w:ascii="Franklin Gothic Book" w:eastAsia="Calibri" w:hAnsi="Franklin Gothic Book" w:cs="Times New Roman"/>
          <w:lang w:val="en-US"/>
        </w:rPr>
        <w:t>-processing, distribution and financial services sectors.</w:t>
      </w:r>
      <w:r w:rsidR="007308C5" w:rsidRPr="007308C5">
        <w:rPr>
          <w:rFonts w:ascii="Franklin Gothic Book" w:eastAsia="Calibri" w:hAnsi="Franklin Gothic Book" w:cs="Times New Roman"/>
          <w:lang w:val="en-US"/>
        </w:rPr>
        <w:t xml:space="preserve"> </w:t>
      </w:r>
      <w:r w:rsidR="007308C5" w:rsidRPr="008D5FE8">
        <w:rPr>
          <w:rFonts w:ascii="Franklin Gothic Book" w:eastAsia="Calibri" w:hAnsi="Franklin Gothic Book" w:cs="Times New Roman"/>
          <w:lang w:val="en-US"/>
        </w:rPr>
        <w:t>Thus, the tobacco production and selling season, which coincide</w:t>
      </w:r>
      <w:r w:rsidR="007308C5">
        <w:rPr>
          <w:rFonts w:ascii="Franklin Gothic Book" w:eastAsia="Calibri" w:hAnsi="Franklin Gothic Book" w:cs="Times New Roman"/>
          <w:lang w:val="en-US"/>
        </w:rPr>
        <w:t>s</w:t>
      </w:r>
      <w:r w:rsidR="007308C5" w:rsidRPr="008D5FE8">
        <w:rPr>
          <w:rFonts w:ascii="Franklin Gothic Book" w:eastAsia="Calibri" w:hAnsi="Franklin Gothic Book" w:cs="Times New Roman"/>
          <w:lang w:val="en-US"/>
        </w:rPr>
        <w:t xml:space="preserve"> with the country’s lockdown period will see a major slump in both the volume and quality of the tobacco that will be produced by the country this year.</w:t>
      </w:r>
      <w:r w:rsidR="007308C5" w:rsidRPr="007308C5">
        <w:rPr>
          <w:rFonts w:ascii="Franklin Gothic Book" w:eastAsia="Calibri" w:hAnsi="Franklin Gothic Book" w:cs="Times New Roman"/>
          <w:lang w:val="en-US"/>
        </w:rPr>
        <w:t xml:space="preserve"> </w:t>
      </w:r>
      <w:r w:rsidR="007308C5" w:rsidRPr="008D5FE8">
        <w:rPr>
          <w:rFonts w:ascii="Franklin Gothic Book" w:eastAsia="Calibri" w:hAnsi="Franklin Gothic Book" w:cs="Times New Roman"/>
          <w:lang w:val="en-US"/>
        </w:rPr>
        <w:t xml:space="preserve">In addition, the prices of the country’s major exportable commodities, except gold, have been declining in the international markets </w:t>
      </w:r>
      <w:r w:rsidR="007308C5" w:rsidRPr="008D5FE8">
        <w:rPr>
          <w:rFonts w:ascii="Franklin Gothic Book" w:eastAsia="Calibri" w:hAnsi="Franklin Gothic Book" w:cs="Times New Roman"/>
          <w:lang w:val="en-US"/>
        </w:rPr>
        <w:lastRenderedPageBreak/>
        <w:t xml:space="preserve">since the breakout of the </w:t>
      </w:r>
      <w:r w:rsidR="007308C5" w:rsidRPr="005603C8">
        <w:rPr>
          <w:rFonts w:ascii="Franklin Gothic Book" w:eastAsia="Calibri" w:hAnsi="Franklin Gothic Book" w:cs="Times New Roman"/>
          <w:lang w:val="en-US"/>
        </w:rPr>
        <w:t>Coronavirus</w:t>
      </w:r>
      <w:r w:rsidR="007308C5" w:rsidRPr="008D5FE8">
        <w:rPr>
          <w:rFonts w:ascii="Franklin Gothic Book" w:eastAsia="Calibri" w:hAnsi="Franklin Gothic Book" w:cs="Times New Roman"/>
          <w:lang w:val="en-US"/>
        </w:rPr>
        <w:t xml:space="preserve"> due to depressed demand conditions, especially in China which is the major market for the primary commodities.</w:t>
      </w:r>
    </w:p>
    <w:p w14:paraId="3C2F2ACC" w14:textId="77777777" w:rsidR="007308C5" w:rsidRDefault="007308C5" w:rsidP="0048606D">
      <w:pPr>
        <w:pStyle w:val="Caption"/>
        <w:jc w:val="both"/>
        <w:rPr>
          <w:rFonts w:ascii="Franklin Gothic Book" w:hAnsi="Franklin Gothic Book"/>
          <w:i w:val="0"/>
          <w:iCs w:val="0"/>
          <w:sz w:val="22"/>
          <w:szCs w:val="22"/>
        </w:rPr>
      </w:pPr>
    </w:p>
    <w:p w14:paraId="7F6153DD" w14:textId="312038C8" w:rsidR="0048606D" w:rsidRDefault="0048606D" w:rsidP="0048606D">
      <w:pPr>
        <w:pStyle w:val="Caption"/>
        <w:jc w:val="both"/>
        <w:rPr>
          <w:rFonts w:ascii="Franklin Gothic Book" w:hAnsi="Franklin Gothic Book"/>
          <w:i w:val="0"/>
          <w:iCs w:val="0"/>
          <w:sz w:val="22"/>
          <w:szCs w:val="22"/>
        </w:rPr>
      </w:pPr>
      <w:r w:rsidRPr="004B239D">
        <w:rPr>
          <w:rFonts w:ascii="Franklin Gothic Book" w:hAnsi="Franklin Gothic Book"/>
          <w:i w:val="0"/>
          <w:iCs w:val="0"/>
          <w:sz w:val="22"/>
          <w:szCs w:val="22"/>
        </w:rPr>
        <w:t xml:space="preserve">Figure </w:t>
      </w:r>
      <w:r w:rsidRPr="004B239D">
        <w:rPr>
          <w:rFonts w:ascii="Franklin Gothic Book" w:hAnsi="Franklin Gothic Book"/>
          <w:i w:val="0"/>
          <w:iCs w:val="0"/>
          <w:sz w:val="22"/>
          <w:szCs w:val="22"/>
        </w:rPr>
        <w:fldChar w:fldCharType="begin"/>
      </w:r>
      <w:r w:rsidRPr="004B239D">
        <w:rPr>
          <w:rFonts w:ascii="Franklin Gothic Book" w:hAnsi="Franklin Gothic Book"/>
          <w:i w:val="0"/>
          <w:iCs w:val="0"/>
          <w:sz w:val="22"/>
          <w:szCs w:val="22"/>
        </w:rPr>
        <w:instrText xml:space="preserve"> SEQ Figure \* ARABIC </w:instrText>
      </w:r>
      <w:r w:rsidRPr="004B239D">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2</w:t>
      </w:r>
      <w:r w:rsidRPr="004B239D">
        <w:rPr>
          <w:rFonts w:ascii="Franklin Gothic Book" w:hAnsi="Franklin Gothic Book"/>
          <w:i w:val="0"/>
          <w:iCs w:val="0"/>
          <w:sz w:val="22"/>
          <w:szCs w:val="22"/>
        </w:rPr>
        <w:fldChar w:fldCharType="end"/>
      </w:r>
      <w:r w:rsidRPr="004B239D">
        <w:rPr>
          <w:rFonts w:ascii="Franklin Gothic Book" w:hAnsi="Franklin Gothic Book"/>
          <w:i w:val="0"/>
          <w:iCs w:val="0"/>
          <w:sz w:val="22"/>
          <w:szCs w:val="22"/>
        </w:rPr>
        <w:t>: Zimbabwe 2018 Exports by category</w:t>
      </w:r>
    </w:p>
    <w:p w14:paraId="2FA5737B" w14:textId="77777777" w:rsidR="0048606D" w:rsidRPr="007308C5" w:rsidRDefault="0048606D" w:rsidP="007308C5"/>
    <w:p w14:paraId="28F3A15A" w14:textId="77777777" w:rsidR="004B239D" w:rsidRDefault="008D5FE8" w:rsidP="004B239D">
      <w:pPr>
        <w:keepNext/>
        <w:spacing w:line="360" w:lineRule="auto"/>
        <w:jc w:val="both"/>
      </w:pPr>
      <w:r w:rsidRPr="008D5FE8">
        <w:rPr>
          <w:rFonts w:ascii="Franklin Gothic Book" w:eastAsia="Calibri" w:hAnsi="Franklin Gothic Book" w:cs="Times New Roman"/>
          <w:noProof/>
          <w:lang w:eastAsia="en-ZW"/>
        </w:rPr>
        <mc:AlternateContent>
          <mc:Choice Requires="cx1">
            <w:drawing>
              <wp:inline distT="0" distB="0" distL="0" distR="0" wp14:anchorId="179BDD30" wp14:editId="6F611198">
                <wp:extent cx="6311900" cy="3981450"/>
                <wp:effectExtent l="0" t="0" r="12700" b="0"/>
                <wp:docPr id="4" name="Chart 4">
                  <a:extLst xmlns:a="http://schemas.openxmlformats.org/drawingml/2006/main">
                    <a:ext uri="{FF2B5EF4-FFF2-40B4-BE49-F238E27FC236}">
                      <a16:creationId xmlns:a16="http://schemas.microsoft.com/office/drawing/2014/main" id="{0EE853F9-A318-4695-820B-2FF14C9AF97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mc:Fallback>
            <w:drawing>
              <wp:inline distT="0" distB="0" distL="0" distR="0" wp14:anchorId="179BDD30" wp14:editId="6F611198">
                <wp:extent cx="6311900" cy="3981450"/>
                <wp:effectExtent l="0" t="0" r="12700" b="0"/>
                <wp:docPr id="4" name="Chart 4">
                  <a:extLst xmlns:a="http://schemas.openxmlformats.org/drawingml/2006/main">
                    <a:ext uri="{FF2B5EF4-FFF2-40B4-BE49-F238E27FC236}">
                      <a16:creationId xmlns:a16="http://schemas.microsoft.com/office/drawing/2014/main" id="{0EE853F9-A318-4695-820B-2FF14C9AF97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a:extLst>
                            <a:ext uri="{FF2B5EF4-FFF2-40B4-BE49-F238E27FC236}">
                              <a16:creationId xmlns:a16="http://schemas.microsoft.com/office/drawing/2014/main" id="{0EE853F9-A318-4695-820B-2FF14C9AF97D}"/>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6311900" cy="3981450"/>
                        </a:xfrm>
                        <a:prstGeom prst="rect">
                          <a:avLst/>
                        </a:prstGeom>
                      </pic:spPr>
                    </pic:pic>
                  </a:graphicData>
                </a:graphic>
              </wp:inline>
            </w:drawing>
          </mc:Fallback>
        </mc:AlternateContent>
      </w:r>
    </w:p>
    <w:p w14:paraId="7E2CC878" w14:textId="59C651F8" w:rsidR="008D5FE8" w:rsidRDefault="008D5FE8" w:rsidP="008D5FE8">
      <w:pPr>
        <w:spacing w:line="360" w:lineRule="auto"/>
        <w:jc w:val="both"/>
        <w:rPr>
          <w:rFonts w:ascii="Franklin Gothic Book" w:eastAsia="Calibri" w:hAnsi="Franklin Gothic Book" w:cs="Times New Roman"/>
          <w:lang w:val="en-US"/>
        </w:rPr>
      </w:pPr>
      <w:r w:rsidRPr="008D5FE8">
        <w:rPr>
          <w:rFonts w:ascii="Franklin Gothic Book" w:eastAsia="Calibri" w:hAnsi="Franklin Gothic Book" w:cs="Times New Roman"/>
          <w:lang w:val="en-US"/>
        </w:rPr>
        <w:t>Source: United Nations COMTRADE database on international trade.</w:t>
      </w:r>
    </w:p>
    <w:p w14:paraId="28437308" w14:textId="77777777" w:rsidR="007308C5" w:rsidRPr="008D5FE8" w:rsidRDefault="007308C5" w:rsidP="008D5FE8">
      <w:pPr>
        <w:spacing w:line="360" w:lineRule="auto"/>
        <w:jc w:val="both"/>
        <w:rPr>
          <w:rFonts w:ascii="Franklin Gothic Book" w:eastAsia="Calibri" w:hAnsi="Franklin Gothic Book" w:cs="Times New Roman"/>
          <w:lang w:val="en-US"/>
        </w:rPr>
      </w:pPr>
    </w:p>
    <w:p w14:paraId="05DFB2B2" w14:textId="543819D2" w:rsidR="008854E2" w:rsidRDefault="008D5FE8" w:rsidP="004B239D">
      <w:pPr>
        <w:spacing w:line="360" w:lineRule="auto"/>
        <w:jc w:val="both"/>
        <w:rPr>
          <w:rFonts w:ascii="Franklin Gothic Book" w:eastAsia="Calibri" w:hAnsi="Franklin Gothic Book"/>
          <w:color w:val="000000"/>
        </w:rPr>
      </w:pPr>
      <w:r w:rsidRPr="008D5FE8">
        <w:rPr>
          <w:rFonts w:ascii="Franklin Gothic Book" w:eastAsia="Calibri" w:hAnsi="Franklin Gothic Book" w:cs="Times New Roman"/>
          <w:lang w:val="en-US"/>
        </w:rPr>
        <w:t xml:space="preserve">Since December, 2019, the S&amp;P global base metals index has fallen 35% by end of February 2020. </w:t>
      </w:r>
      <w:r w:rsidR="008854E2" w:rsidRPr="005603C8">
        <w:rPr>
          <w:rFonts w:ascii="Franklin Gothic Book" w:eastAsia="Calibri" w:hAnsi="Franklin Gothic Book"/>
        </w:rPr>
        <w:t>The prices of</w:t>
      </w:r>
      <w:r w:rsidR="00BD4F4E">
        <w:rPr>
          <w:rFonts w:ascii="Franklin Gothic Book" w:eastAsia="Calibri" w:hAnsi="Franklin Gothic Book"/>
        </w:rPr>
        <w:t xml:space="preserve"> </w:t>
      </w:r>
      <w:r w:rsidR="008854E2" w:rsidRPr="005603C8">
        <w:rPr>
          <w:rFonts w:ascii="Franklin Gothic Book" w:eastAsia="Calibri" w:hAnsi="Franklin Gothic Book"/>
        </w:rPr>
        <w:t>platinum</w:t>
      </w:r>
      <w:r w:rsidR="006F4B3B">
        <w:rPr>
          <w:rFonts w:ascii="Franklin Gothic Book" w:eastAsia="Calibri" w:hAnsi="Franklin Gothic Book"/>
        </w:rPr>
        <w:t xml:space="preserve">, </w:t>
      </w:r>
      <w:r w:rsidR="00BD4F4E">
        <w:rPr>
          <w:rFonts w:ascii="Franklin Gothic Book" w:eastAsia="Calibri" w:hAnsi="Franklin Gothic Book"/>
        </w:rPr>
        <w:t>silver</w:t>
      </w:r>
      <w:r w:rsidR="006F4B3B">
        <w:rPr>
          <w:rFonts w:ascii="Franklin Gothic Book" w:eastAsia="Calibri" w:hAnsi="Franklin Gothic Book"/>
        </w:rPr>
        <w:t xml:space="preserve"> and nickel</w:t>
      </w:r>
      <w:r w:rsidR="00BD4F4E">
        <w:rPr>
          <w:rFonts w:ascii="Franklin Gothic Book" w:eastAsia="Calibri" w:hAnsi="Franklin Gothic Book"/>
        </w:rPr>
        <w:t xml:space="preserve"> </w:t>
      </w:r>
      <w:r w:rsidR="00A55DE6">
        <w:rPr>
          <w:rFonts w:ascii="Franklin Gothic Book" w:eastAsia="Calibri" w:hAnsi="Franklin Gothic Book"/>
        </w:rPr>
        <w:t>h</w:t>
      </w:r>
      <w:r w:rsidR="008854E2" w:rsidRPr="005603C8">
        <w:rPr>
          <w:rFonts w:ascii="Franklin Gothic Book" w:eastAsia="Calibri" w:hAnsi="Franklin Gothic Book"/>
        </w:rPr>
        <w:t xml:space="preserve">ave already fallen </w:t>
      </w:r>
      <w:r w:rsidR="00BD4F4E">
        <w:rPr>
          <w:rFonts w:ascii="Franklin Gothic Book" w:eastAsia="Calibri" w:hAnsi="Franklin Gothic Book"/>
        </w:rPr>
        <w:t>27.3%</w:t>
      </w:r>
      <w:r w:rsidR="008854E2" w:rsidRPr="005603C8">
        <w:rPr>
          <w:rFonts w:ascii="Franklin Gothic Book" w:eastAsia="Calibri" w:hAnsi="Franklin Gothic Book"/>
        </w:rPr>
        <w:t>, 2</w:t>
      </w:r>
      <w:r w:rsidR="006F4B3B">
        <w:rPr>
          <w:rFonts w:ascii="Franklin Gothic Book" w:eastAsia="Calibri" w:hAnsi="Franklin Gothic Book"/>
        </w:rPr>
        <w:t>0</w:t>
      </w:r>
      <w:r w:rsidR="00A67A36">
        <w:rPr>
          <w:rFonts w:ascii="Franklin Gothic Book" w:eastAsia="Calibri" w:hAnsi="Franklin Gothic Book"/>
        </w:rPr>
        <w:t>%</w:t>
      </w:r>
      <w:r w:rsidR="00A55DE6">
        <w:rPr>
          <w:rFonts w:ascii="Franklin Gothic Book" w:eastAsia="Calibri" w:hAnsi="Franklin Gothic Book"/>
        </w:rPr>
        <w:t>,</w:t>
      </w:r>
      <w:r w:rsidR="006F4B3B">
        <w:rPr>
          <w:rFonts w:ascii="Franklin Gothic Book" w:eastAsia="Calibri" w:hAnsi="Franklin Gothic Book"/>
        </w:rPr>
        <w:t xml:space="preserve"> 18.7%</w:t>
      </w:r>
      <w:r w:rsidR="008854E2" w:rsidRPr="005603C8">
        <w:rPr>
          <w:rFonts w:ascii="Franklin Gothic Book" w:eastAsia="Calibri" w:hAnsi="Franklin Gothic Book"/>
        </w:rPr>
        <w:t xml:space="preserve"> respectively between January and March 2020. The price for tobacco is also expected to</w:t>
      </w:r>
      <w:r w:rsidR="004B239D">
        <w:rPr>
          <w:rFonts w:ascii="Franklin Gothic Book" w:eastAsia="Calibri" w:hAnsi="Franklin Gothic Book"/>
        </w:rPr>
        <w:t xml:space="preserve"> be</w:t>
      </w:r>
      <w:r w:rsidR="008854E2" w:rsidRPr="005603C8">
        <w:rPr>
          <w:rFonts w:ascii="Franklin Gothic Book" w:eastAsia="Calibri" w:hAnsi="Franklin Gothic Book"/>
        </w:rPr>
        <w:t xml:space="preserve"> depressed as income and demand conditions in China</w:t>
      </w:r>
      <w:r w:rsidR="004B239D">
        <w:rPr>
          <w:rFonts w:ascii="Franklin Gothic Book" w:eastAsia="Calibri" w:hAnsi="Franklin Gothic Book"/>
        </w:rPr>
        <w:t xml:space="preserve"> - </w:t>
      </w:r>
      <w:r w:rsidR="008854E2" w:rsidRPr="005603C8">
        <w:rPr>
          <w:rFonts w:ascii="Franklin Gothic Book" w:eastAsia="Calibri" w:hAnsi="Franklin Gothic Book"/>
        </w:rPr>
        <w:t>which is the country’s largest export destination for the product</w:t>
      </w:r>
      <w:r w:rsidR="004B239D">
        <w:rPr>
          <w:rFonts w:ascii="Franklin Gothic Book" w:eastAsia="Calibri" w:hAnsi="Franklin Gothic Book"/>
        </w:rPr>
        <w:t xml:space="preserve"> -</w:t>
      </w:r>
      <w:r w:rsidR="008854E2" w:rsidRPr="005603C8">
        <w:rPr>
          <w:rFonts w:ascii="Franklin Gothic Book" w:eastAsia="Calibri" w:hAnsi="Franklin Gothic Book"/>
        </w:rPr>
        <w:t xml:space="preserve"> have weakened. Between January and March 2020, the price of tobacco</w:t>
      </w:r>
      <w:r w:rsidR="00A55DE6">
        <w:rPr>
          <w:rFonts w:ascii="Franklin Gothic Book" w:eastAsia="Calibri" w:hAnsi="Franklin Gothic Book"/>
        </w:rPr>
        <w:t xml:space="preserve"> </w:t>
      </w:r>
      <w:r w:rsidR="008854E2" w:rsidRPr="005603C8">
        <w:rPr>
          <w:rFonts w:ascii="Franklin Gothic Book" w:eastAsia="Calibri" w:hAnsi="Franklin Gothic Book"/>
        </w:rPr>
        <w:t xml:space="preserve">fell 0.8%. Collectively, the country’s </w:t>
      </w:r>
      <w:r w:rsidR="008854E2" w:rsidRPr="005603C8">
        <w:rPr>
          <w:rFonts w:ascii="Franklin Gothic Book" w:eastAsia="Calibri" w:hAnsi="Franklin Gothic Book"/>
          <w:color w:val="000000"/>
        </w:rPr>
        <w:t xml:space="preserve">export revenues are projected to decline by at least 4%. </w:t>
      </w:r>
    </w:p>
    <w:p w14:paraId="50A127E3" w14:textId="77777777" w:rsidR="007308C5" w:rsidRDefault="007308C5" w:rsidP="007308C5">
      <w:pPr>
        <w:pStyle w:val="Caption"/>
        <w:jc w:val="both"/>
        <w:rPr>
          <w:rFonts w:ascii="Franklin Gothic Book" w:hAnsi="Franklin Gothic Book"/>
          <w:i w:val="0"/>
          <w:iCs w:val="0"/>
          <w:sz w:val="22"/>
          <w:szCs w:val="22"/>
        </w:rPr>
      </w:pPr>
    </w:p>
    <w:p w14:paraId="5AB89A29" w14:textId="5E1B1929" w:rsidR="007308C5" w:rsidRPr="006F4B3B" w:rsidRDefault="007308C5" w:rsidP="007308C5">
      <w:pPr>
        <w:pStyle w:val="Caption"/>
        <w:jc w:val="both"/>
        <w:rPr>
          <w:rFonts w:ascii="Franklin Gothic Book" w:eastAsia="Calibri" w:hAnsi="Franklin Gothic Book"/>
          <w:i w:val="0"/>
          <w:iCs w:val="0"/>
          <w:color w:val="000000"/>
          <w:sz w:val="22"/>
          <w:szCs w:val="22"/>
        </w:rPr>
      </w:pPr>
      <w:r w:rsidRPr="006F4B3B">
        <w:rPr>
          <w:rFonts w:ascii="Franklin Gothic Book" w:hAnsi="Franklin Gothic Book"/>
          <w:i w:val="0"/>
          <w:iCs w:val="0"/>
          <w:sz w:val="22"/>
          <w:szCs w:val="22"/>
        </w:rPr>
        <w:lastRenderedPageBreak/>
        <w:t xml:space="preserve">Figure </w:t>
      </w:r>
      <w:r w:rsidRPr="006F4B3B">
        <w:rPr>
          <w:rFonts w:ascii="Franklin Gothic Book" w:hAnsi="Franklin Gothic Book"/>
          <w:i w:val="0"/>
          <w:iCs w:val="0"/>
          <w:sz w:val="22"/>
          <w:szCs w:val="22"/>
        </w:rPr>
        <w:fldChar w:fldCharType="begin"/>
      </w:r>
      <w:r w:rsidRPr="006F4B3B">
        <w:rPr>
          <w:rFonts w:ascii="Franklin Gothic Book" w:hAnsi="Franklin Gothic Book"/>
          <w:i w:val="0"/>
          <w:iCs w:val="0"/>
          <w:sz w:val="22"/>
          <w:szCs w:val="22"/>
        </w:rPr>
        <w:instrText xml:space="preserve"> SEQ Figure \* ARABIC </w:instrText>
      </w:r>
      <w:r w:rsidRPr="006F4B3B">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3</w:t>
      </w:r>
      <w:r w:rsidRPr="006F4B3B">
        <w:rPr>
          <w:rFonts w:ascii="Franklin Gothic Book" w:hAnsi="Franklin Gothic Book"/>
          <w:i w:val="0"/>
          <w:iCs w:val="0"/>
          <w:sz w:val="22"/>
          <w:szCs w:val="22"/>
        </w:rPr>
        <w:fldChar w:fldCharType="end"/>
      </w:r>
      <w:r w:rsidRPr="006F4B3B">
        <w:rPr>
          <w:rFonts w:ascii="Franklin Gothic Book" w:hAnsi="Franklin Gothic Book"/>
          <w:i w:val="0"/>
          <w:iCs w:val="0"/>
          <w:sz w:val="22"/>
          <w:szCs w:val="22"/>
        </w:rPr>
        <w:t>: Weekly price of platinum, Jan - March 2020</w:t>
      </w:r>
    </w:p>
    <w:p w14:paraId="66CF6F6E" w14:textId="77777777" w:rsidR="006F4B3B" w:rsidRDefault="006F4B3B" w:rsidP="006F4B3B">
      <w:pPr>
        <w:keepNext/>
        <w:spacing w:line="360" w:lineRule="auto"/>
        <w:jc w:val="both"/>
      </w:pPr>
      <w:r>
        <w:rPr>
          <w:noProof/>
          <w:lang w:eastAsia="en-ZW"/>
        </w:rPr>
        <w:drawing>
          <wp:inline distT="0" distB="0" distL="0" distR="0" wp14:anchorId="3C9D62F5" wp14:editId="12445718">
            <wp:extent cx="5702300" cy="2762250"/>
            <wp:effectExtent l="0" t="0" r="1270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2C280B" w14:textId="171D6746" w:rsidR="006F4B3B" w:rsidRDefault="006F4B3B" w:rsidP="004B239D">
      <w:pPr>
        <w:spacing w:line="360" w:lineRule="auto"/>
        <w:jc w:val="both"/>
        <w:rPr>
          <w:rFonts w:ascii="Franklin Gothic Book" w:eastAsia="Calibri" w:hAnsi="Franklin Gothic Book"/>
          <w:color w:val="000000"/>
        </w:rPr>
      </w:pPr>
      <w:r>
        <w:rPr>
          <w:rFonts w:ascii="Franklin Gothic Book" w:eastAsia="Calibri" w:hAnsi="Franklin Gothic Book"/>
          <w:color w:val="000000"/>
        </w:rPr>
        <w:t>Source: Bloomberg (2020)</w:t>
      </w:r>
    </w:p>
    <w:p w14:paraId="5E0F9383" w14:textId="77777777" w:rsidR="007308C5" w:rsidRDefault="007308C5" w:rsidP="004B239D">
      <w:pPr>
        <w:spacing w:line="360" w:lineRule="auto"/>
        <w:jc w:val="both"/>
        <w:rPr>
          <w:rFonts w:ascii="Franklin Gothic Book" w:eastAsia="Calibri" w:hAnsi="Franklin Gothic Book"/>
          <w:color w:val="000000"/>
        </w:rPr>
      </w:pPr>
    </w:p>
    <w:p w14:paraId="059DCC9F" w14:textId="77777777" w:rsidR="007308C5" w:rsidRPr="006F4B3B" w:rsidRDefault="007308C5" w:rsidP="007308C5">
      <w:pPr>
        <w:pStyle w:val="Caption"/>
        <w:jc w:val="both"/>
        <w:rPr>
          <w:rFonts w:ascii="Franklin Gothic Book" w:eastAsia="Calibri" w:hAnsi="Franklin Gothic Book"/>
          <w:i w:val="0"/>
          <w:iCs w:val="0"/>
          <w:color w:val="000000"/>
          <w:sz w:val="22"/>
          <w:szCs w:val="22"/>
        </w:rPr>
      </w:pPr>
      <w:r w:rsidRPr="006F4B3B">
        <w:rPr>
          <w:rFonts w:ascii="Franklin Gothic Book" w:hAnsi="Franklin Gothic Book"/>
          <w:i w:val="0"/>
          <w:iCs w:val="0"/>
          <w:sz w:val="22"/>
          <w:szCs w:val="22"/>
        </w:rPr>
        <w:t xml:space="preserve">Figure </w:t>
      </w:r>
      <w:r w:rsidRPr="006F4B3B">
        <w:rPr>
          <w:rFonts w:ascii="Franklin Gothic Book" w:hAnsi="Franklin Gothic Book"/>
          <w:i w:val="0"/>
          <w:iCs w:val="0"/>
          <w:sz w:val="22"/>
          <w:szCs w:val="22"/>
        </w:rPr>
        <w:fldChar w:fldCharType="begin"/>
      </w:r>
      <w:r w:rsidRPr="006F4B3B">
        <w:rPr>
          <w:rFonts w:ascii="Franklin Gothic Book" w:hAnsi="Franklin Gothic Book"/>
          <w:i w:val="0"/>
          <w:iCs w:val="0"/>
          <w:sz w:val="22"/>
          <w:szCs w:val="22"/>
        </w:rPr>
        <w:instrText xml:space="preserve"> SEQ Figure \* ARABIC </w:instrText>
      </w:r>
      <w:r w:rsidRPr="006F4B3B">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4</w:t>
      </w:r>
      <w:r w:rsidRPr="006F4B3B">
        <w:rPr>
          <w:rFonts w:ascii="Franklin Gothic Book" w:hAnsi="Franklin Gothic Book"/>
          <w:i w:val="0"/>
          <w:iCs w:val="0"/>
          <w:sz w:val="22"/>
          <w:szCs w:val="22"/>
        </w:rPr>
        <w:fldChar w:fldCharType="end"/>
      </w:r>
      <w:r w:rsidRPr="006F4B3B">
        <w:rPr>
          <w:rFonts w:ascii="Franklin Gothic Book" w:hAnsi="Franklin Gothic Book"/>
          <w:i w:val="0"/>
          <w:iCs w:val="0"/>
          <w:sz w:val="22"/>
          <w:szCs w:val="22"/>
        </w:rPr>
        <w:t>: Wee</w:t>
      </w:r>
      <w:r>
        <w:rPr>
          <w:rFonts w:ascii="Franklin Gothic Book" w:hAnsi="Franklin Gothic Book"/>
          <w:i w:val="0"/>
          <w:iCs w:val="0"/>
          <w:sz w:val="22"/>
          <w:szCs w:val="22"/>
        </w:rPr>
        <w:t>k</w:t>
      </w:r>
      <w:r w:rsidRPr="006F4B3B">
        <w:rPr>
          <w:rFonts w:ascii="Franklin Gothic Book" w:hAnsi="Franklin Gothic Book"/>
          <w:i w:val="0"/>
          <w:iCs w:val="0"/>
          <w:sz w:val="22"/>
          <w:szCs w:val="22"/>
        </w:rPr>
        <w:t>ly price of platinum, Jan - March 2020</w:t>
      </w:r>
    </w:p>
    <w:p w14:paraId="2D22A605" w14:textId="77777777" w:rsidR="006F4B3B" w:rsidRDefault="006F4B3B" w:rsidP="006F4B3B">
      <w:pPr>
        <w:keepNext/>
        <w:spacing w:line="360" w:lineRule="auto"/>
        <w:jc w:val="both"/>
      </w:pPr>
      <w:r>
        <w:rPr>
          <w:noProof/>
          <w:lang w:eastAsia="en-ZW"/>
        </w:rPr>
        <w:drawing>
          <wp:inline distT="0" distB="0" distL="0" distR="0" wp14:anchorId="018A924A" wp14:editId="0A9EA1CD">
            <wp:extent cx="5721350" cy="3019425"/>
            <wp:effectExtent l="0" t="0" r="1270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BC9347" w14:textId="57B14184" w:rsidR="006F4B3B" w:rsidRDefault="006F4B3B" w:rsidP="004B239D">
      <w:pPr>
        <w:spacing w:line="360" w:lineRule="auto"/>
        <w:jc w:val="both"/>
        <w:rPr>
          <w:rFonts w:ascii="Franklin Gothic Book" w:eastAsia="Calibri" w:hAnsi="Franklin Gothic Book"/>
          <w:color w:val="000000"/>
        </w:rPr>
      </w:pPr>
      <w:r>
        <w:rPr>
          <w:rFonts w:ascii="Franklin Gothic Book" w:eastAsia="Calibri" w:hAnsi="Franklin Gothic Book"/>
          <w:color w:val="000000"/>
        </w:rPr>
        <w:t>Source: Bloomberg (2020)</w:t>
      </w:r>
    </w:p>
    <w:p w14:paraId="3CEEC428" w14:textId="77777777" w:rsidR="007308C5" w:rsidRDefault="007308C5" w:rsidP="007308C5">
      <w:pPr>
        <w:pStyle w:val="Caption"/>
        <w:jc w:val="both"/>
        <w:rPr>
          <w:rFonts w:ascii="Franklin Gothic Book" w:hAnsi="Franklin Gothic Book"/>
          <w:i w:val="0"/>
          <w:iCs w:val="0"/>
          <w:sz w:val="22"/>
          <w:szCs w:val="22"/>
        </w:rPr>
      </w:pPr>
    </w:p>
    <w:p w14:paraId="72C1E807" w14:textId="77777777" w:rsidR="007308C5" w:rsidRDefault="007308C5" w:rsidP="007308C5">
      <w:pPr>
        <w:pStyle w:val="Caption"/>
        <w:jc w:val="both"/>
        <w:rPr>
          <w:rFonts w:ascii="Franklin Gothic Book" w:hAnsi="Franklin Gothic Book"/>
          <w:i w:val="0"/>
          <w:iCs w:val="0"/>
          <w:sz w:val="22"/>
          <w:szCs w:val="22"/>
        </w:rPr>
      </w:pPr>
    </w:p>
    <w:p w14:paraId="2A7C8B97" w14:textId="3C23569D" w:rsidR="007308C5" w:rsidRDefault="007308C5" w:rsidP="007308C5">
      <w:pPr>
        <w:pStyle w:val="Caption"/>
        <w:jc w:val="both"/>
        <w:rPr>
          <w:rFonts w:ascii="Franklin Gothic Book" w:hAnsi="Franklin Gothic Book"/>
          <w:i w:val="0"/>
          <w:iCs w:val="0"/>
          <w:sz w:val="22"/>
          <w:szCs w:val="22"/>
        </w:rPr>
      </w:pPr>
      <w:r w:rsidRPr="006F4B3B">
        <w:rPr>
          <w:rFonts w:ascii="Franklin Gothic Book" w:hAnsi="Franklin Gothic Book"/>
          <w:i w:val="0"/>
          <w:iCs w:val="0"/>
          <w:sz w:val="22"/>
          <w:szCs w:val="22"/>
        </w:rPr>
        <w:lastRenderedPageBreak/>
        <w:t xml:space="preserve">Figure </w:t>
      </w:r>
      <w:r w:rsidRPr="006F4B3B">
        <w:rPr>
          <w:rFonts w:ascii="Franklin Gothic Book" w:hAnsi="Franklin Gothic Book"/>
          <w:i w:val="0"/>
          <w:iCs w:val="0"/>
          <w:sz w:val="22"/>
          <w:szCs w:val="22"/>
        </w:rPr>
        <w:fldChar w:fldCharType="begin"/>
      </w:r>
      <w:r w:rsidRPr="006F4B3B">
        <w:rPr>
          <w:rFonts w:ascii="Franklin Gothic Book" w:hAnsi="Franklin Gothic Book"/>
          <w:i w:val="0"/>
          <w:iCs w:val="0"/>
          <w:sz w:val="22"/>
          <w:szCs w:val="22"/>
        </w:rPr>
        <w:instrText xml:space="preserve"> SEQ Figure \* ARABIC </w:instrText>
      </w:r>
      <w:r w:rsidRPr="006F4B3B">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5</w:t>
      </w:r>
      <w:r w:rsidRPr="006F4B3B">
        <w:rPr>
          <w:rFonts w:ascii="Franklin Gothic Book" w:hAnsi="Franklin Gothic Book"/>
          <w:i w:val="0"/>
          <w:iCs w:val="0"/>
          <w:sz w:val="22"/>
          <w:szCs w:val="22"/>
        </w:rPr>
        <w:fldChar w:fldCharType="end"/>
      </w:r>
      <w:r w:rsidRPr="006F4B3B">
        <w:rPr>
          <w:rFonts w:ascii="Franklin Gothic Book" w:hAnsi="Franklin Gothic Book"/>
          <w:i w:val="0"/>
          <w:iCs w:val="0"/>
          <w:sz w:val="22"/>
          <w:szCs w:val="22"/>
        </w:rPr>
        <w:t>: Weekly price of nickel, Jan - March 2020</w:t>
      </w:r>
    </w:p>
    <w:p w14:paraId="32BEA89E" w14:textId="77777777" w:rsidR="007308C5" w:rsidRPr="001E7D41" w:rsidRDefault="007308C5" w:rsidP="001E7D41"/>
    <w:p w14:paraId="1ABDC60E" w14:textId="77777777" w:rsidR="006F4B3B" w:rsidRDefault="006F4B3B" w:rsidP="006F4B3B">
      <w:pPr>
        <w:keepNext/>
        <w:spacing w:line="360" w:lineRule="auto"/>
        <w:jc w:val="both"/>
      </w:pPr>
      <w:r>
        <w:rPr>
          <w:noProof/>
          <w:lang w:eastAsia="en-ZW"/>
        </w:rPr>
        <w:drawing>
          <wp:inline distT="0" distB="0" distL="0" distR="0" wp14:anchorId="1D77B9B4" wp14:editId="52406BBF">
            <wp:extent cx="5657850" cy="30861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5E375D" w14:textId="0B66F18B" w:rsidR="006F4B3B" w:rsidRDefault="00367ACD" w:rsidP="004B239D">
      <w:pPr>
        <w:spacing w:line="360" w:lineRule="auto"/>
        <w:jc w:val="both"/>
        <w:rPr>
          <w:rFonts w:ascii="Franklin Gothic Book" w:eastAsia="Calibri" w:hAnsi="Franklin Gothic Book"/>
          <w:color w:val="000000"/>
        </w:rPr>
      </w:pPr>
      <w:r>
        <w:rPr>
          <w:rFonts w:ascii="Franklin Gothic Book" w:eastAsia="Calibri" w:hAnsi="Franklin Gothic Book"/>
          <w:color w:val="000000"/>
        </w:rPr>
        <w:t>Source: Bloomberg (2020)</w:t>
      </w:r>
    </w:p>
    <w:p w14:paraId="4B38695C" w14:textId="77777777" w:rsidR="007308C5" w:rsidRPr="006F4B3B" w:rsidRDefault="007308C5" w:rsidP="007308C5">
      <w:pPr>
        <w:pStyle w:val="Caption"/>
        <w:jc w:val="both"/>
        <w:rPr>
          <w:rFonts w:ascii="Franklin Gothic Book" w:eastAsia="Calibri" w:hAnsi="Franklin Gothic Book"/>
          <w:i w:val="0"/>
          <w:iCs w:val="0"/>
          <w:color w:val="000000"/>
          <w:sz w:val="22"/>
          <w:szCs w:val="22"/>
        </w:rPr>
      </w:pPr>
      <w:r w:rsidRPr="006F4B3B">
        <w:rPr>
          <w:rFonts w:ascii="Franklin Gothic Book" w:hAnsi="Franklin Gothic Book"/>
          <w:i w:val="0"/>
          <w:iCs w:val="0"/>
          <w:sz w:val="22"/>
          <w:szCs w:val="22"/>
        </w:rPr>
        <w:t xml:space="preserve">Figure </w:t>
      </w:r>
      <w:r w:rsidRPr="006F4B3B">
        <w:rPr>
          <w:rFonts w:ascii="Franklin Gothic Book" w:hAnsi="Franklin Gothic Book"/>
          <w:i w:val="0"/>
          <w:iCs w:val="0"/>
          <w:sz w:val="22"/>
          <w:szCs w:val="22"/>
        </w:rPr>
        <w:fldChar w:fldCharType="begin"/>
      </w:r>
      <w:r w:rsidRPr="006F4B3B">
        <w:rPr>
          <w:rFonts w:ascii="Franklin Gothic Book" w:hAnsi="Franklin Gothic Book"/>
          <w:i w:val="0"/>
          <w:iCs w:val="0"/>
          <w:sz w:val="22"/>
          <w:szCs w:val="22"/>
        </w:rPr>
        <w:instrText xml:space="preserve"> SEQ Figure \* ARABIC </w:instrText>
      </w:r>
      <w:r w:rsidRPr="006F4B3B">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6</w:t>
      </w:r>
      <w:r w:rsidRPr="006F4B3B">
        <w:rPr>
          <w:rFonts w:ascii="Franklin Gothic Book" w:hAnsi="Franklin Gothic Book"/>
          <w:i w:val="0"/>
          <w:iCs w:val="0"/>
          <w:sz w:val="22"/>
          <w:szCs w:val="22"/>
        </w:rPr>
        <w:fldChar w:fldCharType="end"/>
      </w:r>
      <w:r w:rsidRPr="006F4B3B">
        <w:rPr>
          <w:rFonts w:ascii="Franklin Gothic Book" w:hAnsi="Franklin Gothic Book"/>
          <w:i w:val="0"/>
          <w:iCs w:val="0"/>
          <w:sz w:val="22"/>
          <w:szCs w:val="22"/>
        </w:rPr>
        <w:t>: Monthly price of tobacco, Jan - March 2020</w:t>
      </w:r>
    </w:p>
    <w:p w14:paraId="62B5256F" w14:textId="77777777" w:rsidR="006F4B3B" w:rsidRDefault="006F4B3B" w:rsidP="006F4B3B">
      <w:pPr>
        <w:keepNext/>
        <w:spacing w:line="360" w:lineRule="auto"/>
        <w:jc w:val="both"/>
      </w:pPr>
      <w:r w:rsidRPr="005603C8">
        <w:rPr>
          <w:rFonts w:ascii="Franklin Gothic Book" w:hAnsi="Franklin Gothic Book"/>
          <w:noProof/>
          <w:lang w:eastAsia="en-ZW"/>
        </w:rPr>
        <w:drawing>
          <wp:inline distT="0" distB="0" distL="0" distR="0" wp14:anchorId="473A3BC8" wp14:editId="33FC3E71">
            <wp:extent cx="5613400" cy="2686050"/>
            <wp:effectExtent l="0" t="0" r="63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E84153" w14:textId="7556BFC0" w:rsidR="008854E2" w:rsidRPr="004B239D" w:rsidRDefault="008854E2" w:rsidP="008854E2">
      <w:pPr>
        <w:spacing w:line="360" w:lineRule="auto"/>
        <w:jc w:val="both"/>
        <w:rPr>
          <w:rFonts w:ascii="Franklin Gothic Book" w:eastAsia="Calibri" w:hAnsi="Franklin Gothic Book"/>
          <w:iCs/>
        </w:rPr>
      </w:pPr>
      <w:r w:rsidRPr="004B239D">
        <w:rPr>
          <w:rFonts w:ascii="Franklin Gothic Book" w:eastAsia="Calibri" w:hAnsi="Franklin Gothic Book"/>
          <w:iCs/>
        </w:rPr>
        <w:t xml:space="preserve">Source: World Bank (2020) </w:t>
      </w:r>
    </w:p>
    <w:p w14:paraId="5A1833F1" w14:textId="4D757023" w:rsidR="00F80D7A" w:rsidRDefault="008854E2" w:rsidP="00C37CE0">
      <w:pPr>
        <w:spacing w:line="360" w:lineRule="auto"/>
        <w:jc w:val="both"/>
        <w:rPr>
          <w:rFonts w:ascii="Franklin Gothic Book" w:eastAsia="Calibri" w:hAnsi="Franklin Gothic Book"/>
        </w:rPr>
      </w:pPr>
      <w:r w:rsidRPr="005603C8">
        <w:rPr>
          <w:rFonts w:ascii="Franklin Gothic Book" w:eastAsia="Calibri" w:hAnsi="Franklin Gothic Book"/>
        </w:rPr>
        <w:lastRenderedPageBreak/>
        <w:t xml:space="preserve">Zimbabwe’s external position is, however, going to be partially cushioned by the increase in the price of gold, which has increased by </w:t>
      </w:r>
      <w:r w:rsidR="006F4B3B">
        <w:rPr>
          <w:rFonts w:ascii="Franklin Gothic Book" w:eastAsia="Calibri" w:hAnsi="Franklin Gothic Book"/>
        </w:rPr>
        <w:t>4</w:t>
      </w:r>
      <w:r w:rsidRPr="005603C8">
        <w:rPr>
          <w:rFonts w:ascii="Franklin Gothic Book" w:eastAsia="Calibri" w:hAnsi="Franklin Gothic Book"/>
        </w:rPr>
        <w:t>.</w:t>
      </w:r>
      <w:r w:rsidR="00F80D7A">
        <w:rPr>
          <w:rFonts w:ascii="Franklin Gothic Book" w:eastAsia="Calibri" w:hAnsi="Franklin Gothic Book"/>
        </w:rPr>
        <w:t>1</w:t>
      </w:r>
      <w:r w:rsidRPr="005603C8">
        <w:rPr>
          <w:rFonts w:ascii="Franklin Gothic Book" w:eastAsia="Calibri" w:hAnsi="Franklin Gothic Book"/>
        </w:rPr>
        <w:t>% from US$1,5</w:t>
      </w:r>
      <w:r w:rsidR="006F4B3B">
        <w:rPr>
          <w:rFonts w:ascii="Franklin Gothic Book" w:eastAsia="Calibri" w:hAnsi="Franklin Gothic Book"/>
        </w:rPr>
        <w:t>84</w:t>
      </w:r>
      <w:r w:rsidR="00F80D7A">
        <w:rPr>
          <w:rFonts w:ascii="Franklin Gothic Book" w:eastAsia="Calibri" w:hAnsi="Franklin Gothic Book"/>
        </w:rPr>
        <w:t xml:space="preserve"> </w:t>
      </w:r>
      <w:r w:rsidRPr="005603C8">
        <w:rPr>
          <w:rFonts w:ascii="Franklin Gothic Book" w:eastAsia="Calibri" w:hAnsi="Franklin Gothic Book"/>
        </w:rPr>
        <w:t>per ounce in January 2020 to US$1,6</w:t>
      </w:r>
      <w:r w:rsidR="006F4B3B">
        <w:rPr>
          <w:rFonts w:ascii="Franklin Gothic Book" w:eastAsia="Calibri" w:hAnsi="Franklin Gothic Book"/>
        </w:rPr>
        <w:t>11</w:t>
      </w:r>
      <w:r w:rsidR="004B239D">
        <w:rPr>
          <w:rFonts w:ascii="Franklin Gothic Book" w:eastAsia="Calibri" w:hAnsi="Franklin Gothic Book"/>
        </w:rPr>
        <w:t xml:space="preserve"> </w:t>
      </w:r>
      <w:r w:rsidRPr="005603C8">
        <w:rPr>
          <w:rFonts w:ascii="Franklin Gothic Book" w:eastAsia="Calibri" w:hAnsi="Franklin Gothic Book"/>
        </w:rPr>
        <w:t>per ounce on 3 April 2020.</w:t>
      </w:r>
      <w:r w:rsidR="00C37CE0" w:rsidRPr="00C37CE0">
        <w:rPr>
          <w:rFonts w:ascii="Franklin Gothic Book" w:eastAsia="Calibri" w:hAnsi="Franklin Gothic Book"/>
        </w:rPr>
        <w:t xml:space="preserve"> </w:t>
      </w:r>
    </w:p>
    <w:p w14:paraId="2D5BCB2E" w14:textId="77777777" w:rsidR="00BC3273" w:rsidRDefault="00BC3273" w:rsidP="00C37CE0">
      <w:pPr>
        <w:spacing w:line="360" w:lineRule="auto"/>
        <w:jc w:val="both"/>
        <w:rPr>
          <w:rFonts w:ascii="Franklin Gothic Book" w:eastAsia="Calibri" w:hAnsi="Franklin Gothic Book"/>
        </w:rPr>
      </w:pPr>
    </w:p>
    <w:p w14:paraId="345A2302" w14:textId="77777777" w:rsidR="00BC3273" w:rsidRPr="00F440E3" w:rsidRDefault="00BC3273" w:rsidP="00BC3273">
      <w:pPr>
        <w:pStyle w:val="Caption"/>
        <w:jc w:val="both"/>
        <w:rPr>
          <w:rFonts w:ascii="Franklin Gothic Book" w:eastAsia="Calibri" w:hAnsi="Franklin Gothic Book"/>
          <w:i w:val="0"/>
          <w:iCs w:val="0"/>
          <w:sz w:val="22"/>
          <w:szCs w:val="22"/>
        </w:rPr>
      </w:pPr>
      <w:r w:rsidRPr="00F440E3">
        <w:rPr>
          <w:rFonts w:ascii="Franklin Gothic Book" w:hAnsi="Franklin Gothic Book"/>
          <w:i w:val="0"/>
          <w:iCs w:val="0"/>
          <w:sz w:val="22"/>
          <w:szCs w:val="22"/>
        </w:rPr>
        <w:t xml:space="preserve">Figure </w:t>
      </w:r>
      <w:r w:rsidRPr="00F440E3">
        <w:rPr>
          <w:rFonts w:ascii="Franklin Gothic Book" w:hAnsi="Franklin Gothic Book"/>
          <w:i w:val="0"/>
          <w:iCs w:val="0"/>
          <w:sz w:val="22"/>
          <w:szCs w:val="22"/>
        </w:rPr>
        <w:fldChar w:fldCharType="begin"/>
      </w:r>
      <w:r w:rsidRPr="00F440E3">
        <w:rPr>
          <w:rFonts w:ascii="Franklin Gothic Book" w:hAnsi="Franklin Gothic Book"/>
          <w:i w:val="0"/>
          <w:iCs w:val="0"/>
          <w:sz w:val="22"/>
          <w:szCs w:val="22"/>
        </w:rPr>
        <w:instrText xml:space="preserve"> SEQ Figure \* ARABIC </w:instrText>
      </w:r>
      <w:r w:rsidRPr="00F440E3">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7</w:t>
      </w:r>
      <w:r w:rsidRPr="00F440E3">
        <w:rPr>
          <w:rFonts w:ascii="Franklin Gothic Book" w:hAnsi="Franklin Gothic Book"/>
          <w:i w:val="0"/>
          <w:iCs w:val="0"/>
          <w:sz w:val="22"/>
          <w:szCs w:val="22"/>
        </w:rPr>
        <w:fldChar w:fldCharType="end"/>
      </w:r>
      <w:r w:rsidRPr="00F440E3">
        <w:rPr>
          <w:rFonts w:ascii="Franklin Gothic Book" w:hAnsi="Franklin Gothic Book"/>
          <w:i w:val="0"/>
          <w:iCs w:val="0"/>
          <w:sz w:val="22"/>
          <w:szCs w:val="22"/>
        </w:rPr>
        <w:t>: Weekly gold prices, Jan - March 2020</w:t>
      </w:r>
    </w:p>
    <w:p w14:paraId="05428000" w14:textId="77777777" w:rsidR="00F440E3" w:rsidRDefault="006F4B3B" w:rsidP="00F440E3">
      <w:pPr>
        <w:keepNext/>
        <w:spacing w:line="360" w:lineRule="auto"/>
        <w:jc w:val="both"/>
      </w:pPr>
      <w:r>
        <w:rPr>
          <w:noProof/>
          <w:lang w:eastAsia="en-ZW"/>
        </w:rPr>
        <w:drawing>
          <wp:inline distT="0" distB="0" distL="0" distR="0" wp14:anchorId="76F44FFB" wp14:editId="12301DC2">
            <wp:extent cx="5781675" cy="28384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C0C5F6" w14:textId="0F77C915" w:rsidR="008D5FE8" w:rsidRPr="008D5FE8" w:rsidRDefault="008D5FE8" w:rsidP="008D5FE8">
      <w:pPr>
        <w:spacing w:before="240" w:line="360" w:lineRule="auto"/>
        <w:jc w:val="both"/>
        <w:rPr>
          <w:rFonts w:ascii="Franklin Gothic Book" w:eastAsia="Calibri" w:hAnsi="Franklin Gothic Book" w:cs="Times New Roman"/>
          <w:b/>
        </w:rPr>
      </w:pPr>
      <w:r w:rsidRPr="008D5FE8">
        <w:rPr>
          <w:rFonts w:ascii="Franklin Gothic Book" w:eastAsia="Calibri" w:hAnsi="Franklin Gothic Book" w:cs="Times New Roman"/>
          <w:b/>
        </w:rPr>
        <w:t>Impact on Imports and Production</w:t>
      </w:r>
    </w:p>
    <w:p w14:paraId="5D8F9A1D" w14:textId="48E3E39D" w:rsidR="008D5FE8" w:rsidRPr="008D5FE8" w:rsidRDefault="008D5FE8" w:rsidP="00000E43">
      <w:pPr>
        <w:spacing w:after="0" w:line="360" w:lineRule="auto"/>
        <w:jc w:val="both"/>
        <w:rPr>
          <w:rFonts w:ascii="Franklin Gothic Book" w:eastAsia="Calibri" w:hAnsi="Franklin Gothic Book" w:cs="Times New Roman"/>
          <w:lang w:val="en-US"/>
        </w:rPr>
      </w:pPr>
      <w:r w:rsidRPr="008D5FE8">
        <w:rPr>
          <w:rFonts w:ascii="Franklin Gothic Book" w:eastAsia="Calibri" w:hAnsi="Franklin Gothic Book" w:cs="Times New Roman"/>
          <w:lang w:val="en-US"/>
        </w:rPr>
        <w:t xml:space="preserve">Zimbabwe’s production is highly import intensive. The manufacturing sector imports raw materials, intermediate goods, capital components and capital equipment.  According to the World Bank Enterprise Survey, the country’s manufacturing sector imports at least 40 percent of its production value most of which are sourced from China, Europe, South Africa, UAE and Zambia.  The disruption of production by the </w:t>
      </w:r>
      <w:r w:rsidR="00572E49" w:rsidRPr="005603C8">
        <w:rPr>
          <w:rFonts w:ascii="Franklin Gothic Book" w:eastAsia="Calibri" w:hAnsi="Franklin Gothic Book" w:cs="Times New Roman"/>
          <w:lang w:val="en-US"/>
        </w:rPr>
        <w:t>Coronavirus</w:t>
      </w:r>
      <w:r w:rsidRPr="008D5FE8">
        <w:rPr>
          <w:rFonts w:ascii="Franklin Gothic Book" w:eastAsia="Calibri" w:hAnsi="Franklin Gothic Book" w:cs="Times New Roman"/>
          <w:lang w:val="en-US"/>
        </w:rPr>
        <w:t xml:space="preserve"> in these countries has an adverse bearing on Zimbabwe’s production processes. </w:t>
      </w:r>
    </w:p>
    <w:p w14:paraId="6AFB26D0" w14:textId="77777777" w:rsidR="00BC3273" w:rsidRDefault="00BC3273" w:rsidP="00BC3273">
      <w:pPr>
        <w:pStyle w:val="Caption"/>
        <w:rPr>
          <w:rFonts w:ascii="Franklin Gothic Book" w:hAnsi="Franklin Gothic Book"/>
          <w:i w:val="0"/>
          <w:iCs w:val="0"/>
          <w:sz w:val="22"/>
          <w:szCs w:val="22"/>
        </w:rPr>
      </w:pPr>
    </w:p>
    <w:p w14:paraId="571502E1" w14:textId="77777777" w:rsidR="00BC3273" w:rsidRDefault="00BC3273" w:rsidP="00BC3273">
      <w:pPr>
        <w:pStyle w:val="Caption"/>
        <w:rPr>
          <w:rFonts w:ascii="Franklin Gothic Book" w:hAnsi="Franklin Gothic Book"/>
          <w:i w:val="0"/>
          <w:iCs w:val="0"/>
          <w:sz w:val="22"/>
          <w:szCs w:val="22"/>
        </w:rPr>
      </w:pPr>
    </w:p>
    <w:p w14:paraId="3AC0AF41" w14:textId="77777777" w:rsidR="00BC3273" w:rsidRDefault="00BC3273" w:rsidP="00BC3273">
      <w:pPr>
        <w:pStyle w:val="Caption"/>
        <w:rPr>
          <w:rFonts w:ascii="Franklin Gothic Book" w:hAnsi="Franklin Gothic Book"/>
          <w:i w:val="0"/>
          <w:iCs w:val="0"/>
          <w:sz w:val="22"/>
          <w:szCs w:val="22"/>
        </w:rPr>
      </w:pPr>
    </w:p>
    <w:p w14:paraId="0F9D9F4A" w14:textId="77777777" w:rsidR="00BC3273" w:rsidRDefault="00BC3273" w:rsidP="00BC3273">
      <w:pPr>
        <w:pStyle w:val="Caption"/>
        <w:rPr>
          <w:rFonts w:ascii="Franklin Gothic Book" w:hAnsi="Franklin Gothic Book"/>
          <w:i w:val="0"/>
          <w:iCs w:val="0"/>
          <w:sz w:val="22"/>
          <w:szCs w:val="22"/>
        </w:rPr>
      </w:pPr>
    </w:p>
    <w:p w14:paraId="779D7757" w14:textId="77777777" w:rsidR="00BC3273" w:rsidRDefault="00BC3273" w:rsidP="00BC3273">
      <w:pPr>
        <w:pStyle w:val="Caption"/>
        <w:rPr>
          <w:rFonts w:ascii="Franklin Gothic Book" w:hAnsi="Franklin Gothic Book"/>
          <w:i w:val="0"/>
          <w:iCs w:val="0"/>
          <w:sz w:val="22"/>
          <w:szCs w:val="22"/>
        </w:rPr>
      </w:pPr>
    </w:p>
    <w:p w14:paraId="4695D071" w14:textId="2AC7A215" w:rsidR="00BC3273" w:rsidRDefault="00BC3273" w:rsidP="00BC3273">
      <w:pPr>
        <w:pStyle w:val="Caption"/>
        <w:rPr>
          <w:rFonts w:ascii="Franklin Gothic Book" w:hAnsi="Franklin Gothic Book"/>
          <w:i w:val="0"/>
          <w:iCs w:val="0"/>
          <w:sz w:val="22"/>
          <w:szCs w:val="22"/>
        </w:rPr>
      </w:pPr>
    </w:p>
    <w:p w14:paraId="47A1BCC5" w14:textId="77777777" w:rsidR="0019778F" w:rsidRPr="0019778F" w:rsidRDefault="0019778F" w:rsidP="0019778F"/>
    <w:p w14:paraId="18E8C735" w14:textId="312D7343" w:rsidR="00BC3273" w:rsidRDefault="00BC3273" w:rsidP="00BC3273">
      <w:pPr>
        <w:pStyle w:val="Caption"/>
        <w:rPr>
          <w:rFonts w:ascii="Franklin Gothic Book" w:hAnsi="Franklin Gothic Book"/>
          <w:i w:val="0"/>
          <w:iCs w:val="0"/>
          <w:sz w:val="22"/>
          <w:szCs w:val="22"/>
        </w:rPr>
      </w:pPr>
      <w:r w:rsidRPr="00F440E3">
        <w:rPr>
          <w:rFonts w:ascii="Franklin Gothic Book" w:hAnsi="Franklin Gothic Book"/>
          <w:i w:val="0"/>
          <w:iCs w:val="0"/>
          <w:sz w:val="22"/>
          <w:szCs w:val="22"/>
        </w:rPr>
        <w:lastRenderedPageBreak/>
        <w:t xml:space="preserve">Figure </w:t>
      </w:r>
      <w:r w:rsidRPr="00F440E3">
        <w:rPr>
          <w:rFonts w:ascii="Franklin Gothic Book" w:hAnsi="Franklin Gothic Book"/>
          <w:i w:val="0"/>
          <w:iCs w:val="0"/>
          <w:sz w:val="22"/>
          <w:szCs w:val="22"/>
        </w:rPr>
        <w:fldChar w:fldCharType="begin"/>
      </w:r>
      <w:r w:rsidRPr="00F440E3">
        <w:rPr>
          <w:rFonts w:ascii="Franklin Gothic Book" w:hAnsi="Franklin Gothic Book"/>
          <w:i w:val="0"/>
          <w:iCs w:val="0"/>
          <w:sz w:val="22"/>
          <w:szCs w:val="22"/>
        </w:rPr>
        <w:instrText xml:space="preserve"> SEQ Figure \* ARABIC </w:instrText>
      </w:r>
      <w:r w:rsidRPr="00F440E3">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8</w:t>
      </w:r>
      <w:r w:rsidRPr="00F440E3">
        <w:rPr>
          <w:rFonts w:ascii="Franklin Gothic Book" w:hAnsi="Franklin Gothic Book"/>
          <w:i w:val="0"/>
          <w:iCs w:val="0"/>
          <w:sz w:val="22"/>
          <w:szCs w:val="22"/>
        </w:rPr>
        <w:fldChar w:fldCharType="end"/>
      </w:r>
      <w:r w:rsidRPr="00F440E3">
        <w:rPr>
          <w:rFonts w:ascii="Franklin Gothic Book" w:hAnsi="Franklin Gothic Book"/>
          <w:i w:val="0"/>
          <w:iCs w:val="0"/>
          <w:sz w:val="22"/>
          <w:szCs w:val="22"/>
        </w:rPr>
        <w:t>: Zimbabwe import shares</w:t>
      </w:r>
    </w:p>
    <w:p w14:paraId="37ABABDB" w14:textId="77777777" w:rsidR="00BC3273" w:rsidRPr="00523971" w:rsidRDefault="00BC3273" w:rsidP="00523971"/>
    <w:p w14:paraId="1B7A456E" w14:textId="77777777" w:rsidR="00F440E3" w:rsidRDefault="008D5FE8" w:rsidP="00F440E3">
      <w:pPr>
        <w:keepNext/>
        <w:spacing w:before="240" w:line="240" w:lineRule="auto"/>
      </w:pPr>
      <w:r w:rsidRPr="008D5FE8">
        <w:rPr>
          <w:rFonts w:ascii="Franklin Gothic Book" w:eastAsia="Calibri" w:hAnsi="Franklin Gothic Book" w:cs="Times New Roman"/>
          <w:noProof/>
          <w:lang w:eastAsia="en-ZW"/>
        </w:rPr>
        <w:drawing>
          <wp:inline distT="0" distB="0" distL="0" distR="0" wp14:anchorId="5A98A512" wp14:editId="2D017F54">
            <wp:extent cx="3000375" cy="2638425"/>
            <wp:effectExtent l="0" t="0" r="476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D5FE8">
        <w:rPr>
          <w:rFonts w:ascii="Franklin Gothic Book" w:eastAsia="Calibri" w:hAnsi="Franklin Gothic Book" w:cs="Times New Roman"/>
          <w:noProof/>
          <w:lang w:eastAsia="en-ZW"/>
        </w:rPr>
        <w:t xml:space="preserve"> </w:t>
      </w:r>
      <w:r w:rsidRPr="008D5FE8">
        <w:rPr>
          <w:rFonts w:ascii="Franklin Gothic Book" w:eastAsia="Calibri" w:hAnsi="Franklin Gothic Book" w:cs="Times New Roman"/>
          <w:noProof/>
          <w:lang w:eastAsia="en-ZW"/>
        </w:rPr>
        <w:drawing>
          <wp:inline distT="0" distB="0" distL="0" distR="0" wp14:anchorId="2D7E808D" wp14:editId="69165C30">
            <wp:extent cx="2847975" cy="2638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5AC6FE" w14:textId="58D21AF5" w:rsidR="008D5FE8" w:rsidRPr="008D5FE8" w:rsidRDefault="00154232" w:rsidP="008D5FE8">
      <w:pPr>
        <w:spacing w:before="240" w:line="360" w:lineRule="auto"/>
        <w:jc w:val="both"/>
        <w:rPr>
          <w:rFonts w:ascii="Franklin Gothic Book" w:eastAsia="Calibri" w:hAnsi="Franklin Gothic Book" w:cs="Times New Roman"/>
        </w:rPr>
      </w:pPr>
      <w:r>
        <w:rPr>
          <w:rFonts w:ascii="Franklin Gothic Book" w:eastAsia="Calibri" w:hAnsi="Franklin Gothic Book" w:cs="Times New Roman"/>
        </w:rPr>
        <w:t xml:space="preserve">Source: </w:t>
      </w:r>
      <w:r w:rsidR="008D5FE8" w:rsidRPr="008D5FE8">
        <w:rPr>
          <w:rFonts w:ascii="Franklin Gothic Book" w:eastAsia="Calibri" w:hAnsi="Franklin Gothic Book" w:cs="Times New Roman"/>
        </w:rPr>
        <w:t>IMF &amp; World Integrated Trade Solution Data</w:t>
      </w:r>
    </w:p>
    <w:p w14:paraId="617744C1" w14:textId="3552349D"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 xml:space="preserve">The presented chart shows that Zimbabwe also imports a significant proportion of finished products for final consumption whose supply disruption in the source countries through production stoppage due to the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has adverse shocks on domestic supply and prices. As of 2018, </w:t>
      </w:r>
      <w:r w:rsidR="00367ACD">
        <w:rPr>
          <w:rFonts w:ascii="Franklin Gothic Book" w:eastAsia="Calibri" w:hAnsi="Franklin Gothic Book" w:cs="Times New Roman"/>
        </w:rPr>
        <w:t>m</w:t>
      </w:r>
      <w:r w:rsidRPr="008D5FE8">
        <w:rPr>
          <w:rFonts w:ascii="Franklin Gothic Book" w:eastAsia="Calibri" w:hAnsi="Franklin Gothic Book" w:cs="Times New Roman"/>
        </w:rPr>
        <w:t xml:space="preserve">ineral fuels, oils and distillation products made up 30% (US$ 1.9 billion) of the country’s imports. The closure of borders will, therefore, delay the sourcing of critical inputs from outside the country and will result in significant capacity underutilization by industry as well as causing direct shortages of imported finished products. Already, according to the Confederation of Zimbabwe Industry (CZI)’s manufacturing sector survey, industry capacity utilization had fallen to about 36 percent in 2019 down from 48.2 percent in 2018. A further fall in the capacity utilization due to supply disruption in input supply countries will aggravate domestic capacity underutilization and unemployment. </w:t>
      </w:r>
    </w:p>
    <w:p w14:paraId="3795977A" w14:textId="77777777" w:rsidR="008D5FE8" w:rsidRPr="008D5FE8" w:rsidRDefault="008D5FE8" w:rsidP="008D5FE8">
      <w:pPr>
        <w:spacing w:before="240" w:line="360" w:lineRule="auto"/>
        <w:jc w:val="both"/>
        <w:rPr>
          <w:rFonts w:ascii="Franklin Gothic Book" w:eastAsia="Calibri" w:hAnsi="Franklin Gothic Book" w:cs="Times New Roman"/>
          <w:b/>
        </w:rPr>
      </w:pPr>
      <w:r w:rsidRPr="008D5FE8">
        <w:rPr>
          <w:rFonts w:ascii="Franklin Gothic Book" w:eastAsia="Calibri" w:hAnsi="Franklin Gothic Book" w:cs="Times New Roman"/>
          <w:b/>
        </w:rPr>
        <w:t>Travel and Tourism Sector</w:t>
      </w:r>
    </w:p>
    <w:p w14:paraId="00E0E45D" w14:textId="0DD6C870" w:rsid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 xml:space="preserve">Tourism contributes significantly towards </w:t>
      </w:r>
      <w:r w:rsidR="0067770F" w:rsidRPr="005603C8">
        <w:rPr>
          <w:rFonts w:ascii="Franklin Gothic Book" w:eastAsia="Calibri" w:hAnsi="Franklin Gothic Book" w:cs="Times New Roman"/>
        </w:rPr>
        <w:t>Zimbabwe’s Gross</w:t>
      </w:r>
      <w:r w:rsidRPr="008D5FE8">
        <w:rPr>
          <w:rFonts w:ascii="Franklin Gothic Book" w:eastAsia="Calibri" w:hAnsi="Franklin Gothic Book" w:cs="Times New Roman"/>
        </w:rPr>
        <w:t xml:space="preserve"> Domestic Product (GDP). It contributes at least </w:t>
      </w:r>
      <w:r w:rsidR="00F124A5">
        <w:rPr>
          <w:rFonts w:ascii="Franklin Gothic Book" w:eastAsia="Calibri" w:hAnsi="Franklin Gothic Book" w:cs="Times New Roman"/>
        </w:rPr>
        <w:t>ten (</w:t>
      </w:r>
      <w:r w:rsidRPr="008D5FE8">
        <w:rPr>
          <w:rFonts w:ascii="Franklin Gothic Book" w:eastAsia="Calibri" w:hAnsi="Franklin Gothic Book" w:cs="Times New Roman"/>
        </w:rPr>
        <w:t>10</w:t>
      </w:r>
      <w:r w:rsidR="00F124A5">
        <w:rPr>
          <w:rFonts w:ascii="Franklin Gothic Book" w:eastAsia="Calibri" w:hAnsi="Franklin Gothic Book" w:cs="Times New Roman"/>
        </w:rPr>
        <w:t xml:space="preserve">) </w:t>
      </w:r>
      <w:r w:rsidRPr="008D5FE8">
        <w:rPr>
          <w:rFonts w:ascii="Franklin Gothic Book" w:eastAsia="Calibri" w:hAnsi="Franklin Gothic Book" w:cs="Times New Roman"/>
        </w:rPr>
        <w:t xml:space="preserve">percent towards the country’s GDP. The sector has been booming for Africa, growing at 5.6 percent in 2018 compared to the global average growth of 3.9 percent. This places Africa as the second-fastest growing region in tourism receipts, behind only Asia-Pacific. In Zimbabwe, international tourists reached 2.6 million in 2018, generating US$ 1,060 billion. An average of 6,000 domestic and international tourists visit the Victoria Falls alone on holidays. At least </w:t>
      </w:r>
      <w:r w:rsidRPr="008D5FE8">
        <w:rPr>
          <w:rFonts w:ascii="Franklin Gothic Book" w:eastAsia="Calibri" w:hAnsi="Franklin Gothic Book" w:cs="Times New Roman"/>
          <w:lang w:val="en-US"/>
        </w:rPr>
        <w:t xml:space="preserve">30 percent of the country’s </w:t>
      </w:r>
      <w:r w:rsidRPr="008D5FE8">
        <w:rPr>
          <w:rFonts w:ascii="Franklin Gothic Book" w:eastAsia="Calibri" w:hAnsi="Franklin Gothic Book" w:cs="Times New Roman"/>
          <w:lang w:val="en-US"/>
        </w:rPr>
        <w:lastRenderedPageBreak/>
        <w:t>tourists arrive through South Africa which is a major gateway for international tourists in the region. The cancellations of international flights by the South African Airways and the South African Civil Aviation Authority has significant adverse effects on the tourism industry in Zimbabwe. The</w:t>
      </w:r>
      <w:r w:rsidRPr="008D5FE8">
        <w:rPr>
          <w:rFonts w:ascii="Franklin Gothic Book" w:eastAsia="Calibri" w:hAnsi="Franklin Gothic Book" w:cs="Times New Roman"/>
        </w:rPr>
        <w:t xml:space="preserve"> South African </w:t>
      </w:r>
      <w:r w:rsidR="00102CD0">
        <w:rPr>
          <w:rFonts w:ascii="Franklin Gothic Book" w:eastAsia="Calibri" w:hAnsi="Franklin Gothic Book" w:cs="Times New Roman"/>
        </w:rPr>
        <w:t>A</w:t>
      </w:r>
      <w:r w:rsidRPr="008D5FE8">
        <w:rPr>
          <w:rFonts w:ascii="Franklin Gothic Book" w:eastAsia="Calibri" w:hAnsi="Franklin Gothic Book" w:cs="Times New Roman"/>
        </w:rPr>
        <w:t>irways has</w:t>
      </w:r>
      <w:r w:rsidR="00367ACD">
        <w:rPr>
          <w:rFonts w:ascii="Franklin Gothic Book" w:eastAsia="Calibri" w:hAnsi="Franklin Gothic Book" w:cs="Times New Roman"/>
        </w:rPr>
        <w:t xml:space="preserve"> </w:t>
      </w:r>
      <w:r w:rsidRPr="008D5FE8">
        <w:rPr>
          <w:rFonts w:ascii="Franklin Gothic Book" w:eastAsia="Calibri" w:hAnsi="Franklin Gothic Book" w:cs="Times New Roman"/>
        </w:rPr>
        <w:t>suspended all international flights until 31 May 2020. Emirate</w:t>
      </w:r>
      <w:r w:rsidR="00367ACD">
        <w:rPr>
          <w:rFonts w:ascii="Franklin Gothic Book" w:eastAsia="Calibri" w:hAnsi="Franklin Gothic Book" w:cs="Times New Roman"/>
        </w:rPr>
        <w:t>s</w:t>
      </w:r>
      <w:r w:rsidR="00F124A5">
        <w:rPr>
          <w:rFonts w:ascii="Franklin Gothic Book" w:eastAsia="Calibri" w:hAnsi="Franklin Gothic Book" w:cs="Times New Roman"/>
        </w:rPr>
        <w:t xml:space="preserve"> and</w:t>
      </w:r>
      <w:r w:rsidRPr="008D5FE8">
        <w:rPr>
          <w:rFonts w:ascii="Franklin Gothic Book" w:eastAsia="Calibri" w:hAnsi="Franklin Gothic Book" w:cs="Times New Roman"/>
        </w:rPr>
        <w:t xml:space="preserve"> </w:t>
      </w:r>
      <w:proofErr w:type="spellStart"/>
      <w:r w:rsidRPr="008D5FE8">
        <w:rPr>
          <w:rFonts w:ascii="Franklin Gothic Book" w:eastAsia="Calibri" w:hAnsi="Franklin Gothic Book" w:cs="Times New Roman"/>
        </w:rPr>
        <w:t>RwandAir</w:t>
      </w:r>
      <w:proofErr w:type="spellEnd"/>
      <w:r w:rsidRPr="008D5FE8">
        <w:rPr>
          <w:rFonts w:ascii="Franklin Gothic Book" w:eastAsia="Calibri" w:hAnsi="Franklin Gothic Book" w:cs="Times New Roman"/>
        </w:rPr>
        <w:t xml:space="preserve"> have also followed suit.  On 26 March, 2020, Air Zimbabwe suspended all regional and domestic flights. This will result in falling employment in the country’s tourism sector.</w:t>
      </w:r>
      <w:r w:rsidR="00F124A5">
        <w:rPr>
          <w:rFonts w:ascii="Franklin Gothic Book" w:eastAsia="Calibri" w:hAnsi="Franklin Gothic Book" w:cs="Times New Roman"/>
        </w:rPr>
        <w:t xml:space="preserve"> </w:t>
      </w:r>
      <w:r w:rsidR="00F124A5" w:rsidRPr="008D5FE8">
        <w:rPr>
          <w:rFonts w:ascii="Franklin Gothic Book" w:eastAsia="Calibri" w:hAnsi="Franklin Gothic Book" w:cs="Times New Roman"/>
        </w:rPr>
        <w:t>The United</w:t>
      </w:r>
      <w:r w:rsidRPr="008D5FE8">
        <w:rPr>
          <w:rFonts w:ascii="Franklin Gothic Book" w:eastAsia="Calibri" w:hAnsi="Franklin Gothic Book" w:cs="Times New Roman"/>
        </w:rPr>
        <w:t xml:space="preserve"> Nations World Tourism Organization (UNWTO) estimates international tourist arrivals could decline by 20% to 30% in 2020. This would translate into a loss of </w:t>
      </w:r>
      <w:r w:rsidR="00F124A5" w:rsidRPr="00F124A5">
        <w:rPr>
          <w:rFonts w:ascii="Franklin Gothic Book" w:eastAsia="Calibri" w:hAnsi="Franklin Gothic Book" w:cs="Times New Roman"/>
        </w:rPr>
        <w:t xml:space="preserve">US$ </w:t>
      </w:r>
      <w:r w:rsidRPr="008D5FE8">
        <w:rPr>
          <w:rFonts w:ascii="Franklin Gothic Book" w:eastAsia="Calibri" w:hAnsi="Franklin Gothic Book" w:cs="Times New Roman"/>
        </w:rPr>
        <w:t xml:space="preserve">300 to 450 billion in international tourism receipts (exports) – almost one third of the US$ 1.5 trillion generated globally in the worst-case scenario. </w:t>
      </w:r>
    </w:p>
    <w:p w14:paraId="3D14E58C" w14:textId="77777777" w:rsidR="00BC3273" w:rsidRDefault="00BC3273" w:rsidP="008D5FE8">
      <w:pPr>
        <w:spacing w:before="240" w:line="360" w:lineRule="auto"/>
        <w:jc w:val="both"/>
        <w:rPr>
          <w:rFonts w:ascii="Franklin Gothic Book" w:eastAsia="Calibri" w:hAnsi="Franklin Gothic Book" w:cs="Times New Roman"/>
        </w:rPr>
      </w:pPr>
    </w:p>
    <w:p w14:paraId="43605A44" w14:textId="5C2BDB43" w:rsidR="00BC3273" w:rsidRPr="008D5FE8" w:rsidRDefault="00BC3273" w:rsidP="00523971">
      <w:pPr>
        <w:pStyle w:val="Caption"/>
        <w:jc w:val="both"/>
      </w:pPr>
      <w:r w:rsidRPr="00F440E3">
        <w:rPr>
          <w:rFonts w:ascii="Franklin Gothic Book" w:hAnsi="Franklin Gothic Book"/>
          <w:i w:val="0"/>
          <w:iCs w:val="0"/>
          <w:sz w:val="22"/>
          <w:szCs w:val="22"/>
        </w:rPr>
        <w:t xml:space="preserve">Figure </w:t>
      </w:r>
      <w:r w:rsidRPr="00F440E3">
        <w:rPr>
          <w:rFonts w:ascii="Franklin Gothic Book" w:hAnsi="Franklin Gothic Book"/>
          <w:i w:val="0"/>
          <w:iCs w:val="0"/>
          <w:sz w:val="22"/>
          <w:szCs w:val="22"/>
        </w:rPr>
        <w:fldChar w:fldCharType="begin"/>
      </w:r>
      <w:r w:rsidRPr="00F440E3">
        <w:rPr>
          <w:rFonts w:ascii="Franklin Gothic Book" w:hAnsi="Franklin Gothic Book"/>
          <w:i w:val="0"/>
          <w:iCs w:val="0"/>
          <w:sz w:val="22"/>
          <w:szCs w:val="22"/>
        </w:rPr>
        <w:instrText xml:space="preserve"> SEQ Figure \* ARABIC </w:instrText>
      </w:r>
      <w:r w:rsidRPr="00F440E3">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9</w:t>
      </w:r>
      <w:r w:rsidRPr="00F440E3">
        <w:rPr>
          <w:rFonts w:ascii="Franklin Gothic Book" w:hAnsi="Franklin Gothic Book"/>
          <w:i w:val="0"/>
          <w:iCs w:val="0"/>
          <w:sz w:val="22"/>
          <w:szCs w:val="22"/>
        </w:rPr>
        <w:fldChar w:fldCharType="end"/>
      </w:r>
      <w:r w:rsidRPr="00F440E3">
        <w:rPr>
          <w:rFonts w:ascii="Franklin Gothic Book" w:hAnsi="Franklin Gothic Book"/>
          <w:i w:val="0"/>
          <w:iCs w:val="0"/>
          <w:sz w:val="22"/>
          <w:szCs w:val="22"/>
        </w:rPr>
        <w:t>: Estimated loss in tourism revenues due to Coronavirus</w:t>
      </w:r>
    </w:p>
    <w:p w14:paraId="5888AF35" w14:textId="77777777" w:rsidR="00F440E3" w:rsidRDefault="008D5FE8" w:rsidP="00F440E3">
      <w:pPr>
        <w:keepNext/>
        <w:spacing w:before="240" w:line="360" w:lineRule="auto"/>
        <w:jc w:val="both"/>
      </w:pPr>
      <w:r w:rsidRPr="008D5FE8">
        <w:rPr>
          <w:rFonts w:ascii="Franklin Gothic Book" w:eastAsia="Calibri" w:hAnsi="Franklin Gothic Book" w:cs="Times New Roman"/>
          <w:noProof/>
          <w:lang w:eastAsia="en-ZW"/>
        </w:rPr>
        <w:drawing>
          <wp:inline distT="0" distB="0" distL="0" distR="0" wp14:anchorId="19DB9BC5" wp14:editId="1EE06C60">
            <wp:extent cx="5949950" cy="2759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07" r="-1" b="7816"/>
                    <a:stretch/>
                  </pic:blipFill>
                  <pic:spPr bwMode="auto">
                    <a:xfrm>
                      <a:off x="0" y="0"/>
                      <a:ext cx="5949950" cy="2759075"/>
                    </a:xfrm>
                    <a:prstGeom prst="rect">
                      <a:avLst/>
                    </a:prstGeom>
                    <a:ln>
                      <a:noFill/>
                    </a:ln>
                    <a:extLst>
                      <a:ext uri="{53640926-AAD7-44D8-BBD7-CCE9431645EC}">
                        <a14:shadowObscured xmlns:a14="http://schemas.microsoft.com/office/drawing/2010/main"/>
                      </a:ext>
                    </a:extLst>
                  </pic:spPr>
                </pic:pic>
              </a:graphicData>
            </a:graphic>
          </wp:inline>
        </w:drawing>
      </w:r>
    </w:p>
    <w:p w14:paraId="3AEEAD42" w14:textId="77777777"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Source: United Nations World Trade Organisation (UNWTO)</w:t>
      </w:r>
    </w:p>
    <w:p w14:paraId="71798DBF" w14:textId="75E9CC4D" w:rsidR="008D5FE8" w:rsidRPr="008D5FE8" w:rsidRDefault="008D5FE8" w:rsidP="008D5FE8">
      <w:pPr>
        <w:spacing w:before="240" w:line="360" w:lineRule="auto"/>
        <w:jc w:val="both"/>
        <w:rPr>
          <w:rFonts w:ascii="Franklin Gothic Book" w:eastAsia="Calibri" w:hAnsi="Franklin Gothic Book" w:cs="Times New Roman"/>
          <w:b/>
        </w:rPr>
      </w:pPr>
      <w:r w:rsidRPr="008D5FE8">
        <w:rPr>
          <w:rFonts w:ascii="Franklin Gothic Book" w:eastAsia="Calibri" w:hAnsi="Franklin Gothic Book" w:cs="Times New Roman"/>
        </w:rPr>
        <w:t xml:space="preserve">Tourism is a major job creator, especially for more vulnerable groups - women and youth who are more likely to be employed in </w:t>
      </w:r>
      <w:r w:rsidR="00D1653C">
        <w:rPr>
          <w:rFonts w:ascii="Franklin Gothic Book" w:eastAsia="Calibri" w:hAnsi="Franklin Gothic Book" w:cs="Times New Roman"/>
        </w:rPr>
        <w:t xml:space="preserve">the </w:t>
      </w:r>
      <w:r w:rsidRPr="008D5FE8">
        <w:rPr>
          <w:rFonts w:ascii="Franklin Gothic Book" w:eastAsia="Calibri" w:hAnsi="Franklin Gothic Book" w:cs="Times New Roman"/>
        </w:rPr>
        <w:t>hospitality</w:t>
      </w:r>
      <w:r w:rsidR="00D1653C">
        <w:rPr>
          <w:rFonts w:ascii="Franklin Gothic Book" w:eastAsia="Calibri" w:hAnsi="Franklin Gothic Book" w:cs="Times New Roman"/>
        </w:rPr>
        <w:t xml:space="preserve"> industry</w:t>
      </w:r>
      <w:r w:rsidRPr="008D5FE8">
        <w:rPr>
          <w:rFonts w:ascii="Franklin Gothic Book" w:eastAsia="Calibri" w:hAnsi="Franklin Gothic Book" w:cs="Times New Roman"/>
        </w:rPr>
        <w:t xml:space="preserve">. Already the World Travel and Tourism Council (2020) has gloomily warned that the pandemic could see 50 million employees in the global travel and tourism sector losing their jobs. Globally, the airline industry is set to lose </w:t>
      </w:r>
      <w:r w:rsidRPr="008D5FE8">
        <w:rPr>
          <w:rFonts w:ascii="Franklin Gothic Book" w:eastAsia="Calibri" w:hAnsi="Franklin Gothic Book" w:cs="Times New Roman"/>
          <w:lang w:val="en-US"/>
        </w:rPr>
        <w:t>between $63 billion and $113 billion</w:t>
      </w:r>
      <w:r w:rsidR="00D1653C">
        <w:rPr>
          <w:rFonts w:ascii="Franklin Gothic Book" w:eastAsia="Calibri" w:hAnsi="Franklin Gothic Book" w:cs="Times New Roman"/>
          <w:lang w:val="en-US"/>
        </w:rPr>
        <w:t xml:space="preserve">, </w:t>
      </w:r>
      <w:r w:rsidRPr="008D5FE8">
        <w:rPr>
          <w:rFonts w:ascii="Franklin Gothic Book" w:eastAsia="Calibri" w:hAnsi="Franklin Gothic Book" w:cs="Times New Roman"/>
        </w:rPr>
        <w:t xml:space="preserve">according to the International Air Transportation Association (IATA). For Zimbabwe, </w:t>
      </w:r>
      <w:r w:rsidRPr="008D5FE8">
        <w:rPr>
          <w:rFonts w:ascii="Franklin Gothic Book" w:eastAsia="Calibri" w:hAnsi="Franklin Gothic Book" w:cs="Times New Roman"/>
          <w:lang w:val="en-US"/>
        </w:rPr>
        <w:t xml:space="preserve">tourist arrivals during </w:t>
      </w:r>
      <w:r w:rsidRPr="008D5FE8">
        <w:rPr>
          <w:rFonts w:ascii="Franklin Gothic Book" w:eastAsia="Calibri" w:hAnsi="Franklin Gothic Book" w:cs="Times New Roman"/>
        </w:rPr>
        <w:t xml:space="preserve">the </w:t>
      </w:r>
      <w:r w:rsidRPr="008D5FE8">
        <w:rPr>
          <w:rFonts w:ascii="Franklin Gothic Book" w:eastAsia="Calibri" w:hAnsi="Franklin Gothic Book" w:cs="Times New Roman"/>
          <w:lang w:val="en-US"/>
        </w:rPr>
        <w:t>2020 first quarter have already dropped by close to 20 percent compared to</w:t>
      </w:r>
      <w:r w:rsidR="00D1653C">
        <w:rPr>
          <w:rFonts w:ascii="Franklin Gothic Book" w:eastAsia="Calibri" w:hAnsi="Franklin Gothic Book" w:cs="Times New Roman"/>
          <w:lang w:val="en-US"/>
        </w:rPr>
        <w:t xml:space="preserve"> the</w:t>
      </w:r>
      <w:r w:rsidRPr="008D5FE8">
        <w:rPr>
          <w:rFonts w:ascii="Franklin Gothic Book" w:eastAsia="Calibri" w:hAnsi="Franklin Gothic Book" w:cs="Times New Roman"/>
          <w:lang w:val="en-US"/>
        </w:rPr>
        <w:t xml:space="preserve"> same period in 2019 and the dip is projected to continue if the spread of the </w:t>
      </w:r>
      <w:r w:rsidR="00572E49" w:rsidRPr="005603C8">
        <w:rPr>
          <w:rFonts w:ascii="Franklin Gothic Book" w:eastAsia="Calibri" w:hAnsi="Franklin Gothic Book" w:cs="Times New Roman"/>
          <w:lang w:val="en-US"/>
        </w:rPr>
        <w:t>Coronavirus</w:t>
      </w:r>
      <w:r w:rsidRPr="008D5FE8">
        <w:rPr>
          <w:rFonts w:ascii="Franklin Gothic Book" w:eastAsia="Calibri" w:hAnsi="Franklin Gothic Book" w:cs="Times New Roman"/>
          <w:lang w:val="en-US"/>
        </w:rPr>
        <w:t xml:space="preserve"> continues. The </w:t>
      </w:r>
      <w:r w:rsidRPr="008D5FE8">
        <w:rPr>
          <w:rFonts w:ascii="Franklin Gothic Book" w:eastAsia="Calibri" w:hAnsi="Franklin Gothic Book" w:cs="Times New Roman"/>
        </w:rPr>
        <w:t xml:space="preserve">revenue from tourism will be expected to fall as arrivals and hotel occupancy rates plummet. Some </w:t>
      </w:r>
      <w:r w:rsidRPr="008D5FE8">
        <w:rPr>
          <w:rFonts w:ascii="Franklin Gothic Book" w:eastAsia="Calibri" w:hAnsi="Franklin Gothic Book" w:cs="Times New Roman"/>
        </w:rPr>
        <w:lastRenderedPageBreak/>
        <w:t>hotels across the country such as Cresta Hotels and Rainbow Towers have taken the decision to close to safeguard staff and customers. It is estimated that across the country, hotels are operating at only 20 percent capacity. The development presents a challenge to the National Tourism Sector Strategy which had targeted a seven-fold growth in tourism earnings, as much as US$7 billion by 2030. This target will not likely be met. Bus and taxi operators who frequently transport cross-border traders between Zimbabwe and neighbouring countries such as Botswana, South Africa and Zambia will also feel the economic pain from COVID-19 as they go through a period of no activity.</w:t>
      </w:r>
    </w:p>
    <w:p w14:paraId="5F3FD13F" w14:textId="77777777" w:rsidR="008D5FE8" w:rsidRPr="008D5FE8" w:rsidRDefault="008D5FE8" w:rsidP="008D5FE8">
      <w:pPr>
        <w:spacing w:before="240" w:line="360" w:lineRule="auto"/>
        <w:jc w:val="both"/>
        <w:rPr>
          <w:rFonts w:ascii="Franklin Gothic Book" w:eastAsia="Calibri" w:hAnsi="Franklin Gothic Book" w:cs="Times New Roman"/>
          <w:b/>
        </w:rPr>
      </w:pPr>
      <w:r w:rsidRPr="008D5FE8">
        <w:rPr>
          <w:rFonts w:ascii="Franklin Gothic Book" w:eastAsia="Calibri" w:hAnsi="Franklin Gothic Book" w:cs="Times New Roman"/>
          <w:b/>
        </w:rPr>
        <w:t>The Informal Sector, Cross-Border Trading and the Micro to Small and medium enterprises</w:t>
      </w:r>
    </w:p>
    <w:p w14:paraId="2E4B3747" w14:textId="298A0167"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 xml:space="preserve">The International Monetary Fund report of 2018 suggests that Zimbabwe has got the second largest informal sector in the world, contributing about 60 percent to the country’s total output.  To the extent that the sector involves more personal interactions and involvements </w:t>
      </w:r>
      <w:r w:rsidR="00D1653C" w:rsidRPr="008D5FE8">
        <w:rPr>
          <w:rFonts w:ascii="Franklin Gothic Book" w:eastAsia="Calibri" w:hAnsi="Franklin Gothic Book" w:cs="Times New Roman"/>
        </w:rPr>
        <w:t>at both</w:t>
      </w:r>
      <w:r w:rsidRPr="008D5FE8">
        <w:rPr>
          <w:rFonts w:ascii="Franklin Gothic Book" w:eastAsia="Calibri" w:hAnsi="Franklin Gothic Book" w:cs="Times New Roman"/>
        </w:rPr>
        <w:t xml:space="preserve"> production and marketing stages, it is likely to be affected most by the country’s lockdown and social distancing requirements for mitigating the spread of the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Given its size for Zimbabwe, the sector is a source of and base for life sustenance for the majority of the country’s population. Already the WHO has warned that country lockdowns and social distancing will have significant adverse effects on poverty and livelihoods in the poor countries. In Zimbabwe, the majority of the women and youth- are involved in MSMEs and cross-border trading. It is estimated that 5.7 million people worked in the sector as of 2012 with 85% operating informally. We expect this figure to have significantly grown in 2020 due to </w:t>
      </w:r>
      <w:r w:rsidR="00A072FD">
        <w:rPr>
          <w:rFonts w:ascii="Franklin Gothic Book" w:eastAsia="Calibri" w:hAnsi="Franklin Gothic Book" w:cs="Times New Roman"/>
        </w:rPr>
        <w:t>shrinkage of the formal</w:t>
      </w:r>
      <w:r w:rsidRPr="008D5FE8">
        <w:rPr>
          <w:rFonts w:ascii="Franklin Gothic Book" w:eastAsia="Calibri" w:hAnsi="Franklin Gothic Book" w:cs="Times New Roman"/>
        </w:rPr>
        <w:t xml:space="preserve"> </w:t>
      </w:r>
      <w:r w:rsidR="00A072FD">
        <w:rPr>
          <w:rFonts w:ascii="Franklin Gothic Book" w:eastAsia="Calibri" w:hAnsi="Franklin Gothic Book" w:cs="Times New Roman"/>
        </w:rPr>
        <w:t>sector over the years</w:t>
      </w:r>
      <w:r w:rsidRPr="008D5FE8">
        <w:rPr>
          <w:rFonts w:ascii="Franklin Gothic Book" w:eastAsia="Calibri" w:hAnsi="Franklin Gothic Book" w:cs="Times New Roman"/>
        </w:rPr>
        <w:t>.</w:t>
      </w:r>
      <w:r w:rsidR="00D1653C">
        <w:rPr>
          <w:rFonts w:ascii="Franklin Gothic Book" w:eastAsia="Calibri" w:hAnsi="Franklin Gothic Book" w:cs="Times New Roman"/>
        </w:rPr>
        <w:t xml:space="preserve"> </w:t>
      </w:r>
      <w:r w:rsidRPr="008D5FE8">
        <w:rPr>
          <w:rFonts w:ascii="Franklin Gothic Book" w:eastAsia="Calibri" w:hAnsi="Franklin Gothic Book" w:cs="Times New Roman"/>
        </w:rPr>
        <w:t>The markets for second-hand clothing, electricals and food are vibrant due to low incomes in Zimbabwe and the closure of borders and the current national lockdown may see poverty levels rising among cross-border traders, vendors and small and medium enterprises. This is especially hurtful to the Zimbabwe economy in light of their contribution in job creation and providing commodities that are unavailable in the country or at cheaper prices than similar goods supplied by local producers and the formal retail sector.</w:t>
      </w:r>
    </w:p>
    <w:p w14:paraId="16946D05" w14:textId="77777777" w:rsidR="008D5FE8" w:rsidRPr="008D5FE8" w:rsidRDefault="008D5FE8" w:rsidP="008D5FE8">
      <w:pPr>
        <w:spacing w:before="240" w:line="360" w:lineRule="auto"/>
        <w:jc w:val="both"/>
        <w:rPr>
          <w:rFonts w:ascii="Franklin Gothic Book" w:eastAsia="Calibri" w:hAnsi="Franklin Gothic Book" w:cs="Times New Roman"/>
          <w:b/>
          <w:bCs/>
        </w:rPr>
      </w:pPr>
      <w:r w:rsidRPr="008D5FE8">
        <w:rPr>
          <w:rFonts w:ascii="Franklin Gothic Book" w:eastAsia="Calibri" w:hAnsi="Franklin Gothic Book" w:cs="Times New Roman"/>
          <w:b/>
          <w:bCs/>
        </w:rPr>
        <w:t>The Financial Services Sector</w:t>
      </w:r>
    </w:p>
    <w:p w14:paraId="57272491" w14:textId="3CAE76C1" w:rsidR="008D5FE8" w:rsidRPr="008D5FE8" w:rsidRDefault="008D5FE8" w:rsidP="008D5FE8">
      <w:pPr>
        <w:spacing w:line="360" w:lineRule="auto"/>
        <w:jc w:val="both"/>
        <w:rPr>
          <w:rFonts w:ascii="Franklin Gothic Book" w:eastAsia="Calibri" w:hAnsi="Franklin Gothic Book" w:cs="Times New Roman"/>
          <w:lang w:val="en-US"/>
        </w:rPr>
      </w:pPr>
      <w:r w:rsidRPr="008D5FE8">
        <w:rPr>
          <w:rFonts w:ascii="Franklin Gothic Book" w:eastAsia="Calibri" w:hAnsi="Franklin Gothic Book" w:cs="Times New Roman"/>
          <w:lang w:val="en-US"/>
        </w:rPr>
        <w:t>The pa</w:t>
      </w:r>
      <w:r w:rsidR="007F0582">
        <w:rPr>
          <w:rFonts w:ascii="Franklin Gothic Book" w:eastAsia="Calibri" w:hAnsi="Franklin Gothic Book" w:cs="Times New Roman"/>
          <w:lang w:val="en-US"/>
        </w:rPr>
        <w:t>ndemic forced banks to suspend</w:t>
      </w:r>
      <w:r w:rsidRPr="008D5FE8">
        <w:rPr>
          <w:rFonts w:ascii="Franklin Gothic Book" w:eastAsia="Calibri" w:hAnsi="Franklin Gothic Book" w:cs="Times New Roman"/>
          <w:lang w:val="en-US"/>
        </w:rPr>
        <w:t xml:space="preserve"> some of the services and, in many cases, they can only serve few customers at a time due to socia</w:t>
      </w:r>
      <w:r w:rsidR="000553FA">
        <w:rPr>
          <w:rFonts w:ascii="Franklin Gothic Book" w:eastAsia="Calibri" w:hAnsi="Franklin Gothic Book" w:cs="Times New Roman"/>
          <w:lang w:val="en-US"/>
        </w:rPr>
        <w:t>l distancing rules. On March 23</w:t>
      </w:r>
      <w:r w:rsidRPr="008D5FE8">
        <w:rPr>
          <w:rFonts w:ascii="Franklin Gothic Book" w:eastAsia="Calibri" w:hAnsi="Franklin Gothic Book" w:cs="Times New Roman"/>
          <w:lang w:val="en-US"/>
        </w:rPr>
        <w:t xml:space="preserve"> 2020</w:t>
      </w:r>
      <w:r w:rsidR="000553FA">
        <w:rPr>
          <w:rFonts w:ascii="Franklin Gothic Book" w:eastAsia="Calibri" w:hAnsi="Franklin Gothic Book" w:cs="Times New Roman"/>
          <w:lang w:val="en-US"/>
        </w:rPr>
        <w:t>,</w:t>
      </w:r>
      <w:r w:rsidRPr="008D5FE8">
        <w:rPr>
          <w:rFonts w:ascii="Franklin Gothic Book" w:eastAsia="Calibri" w:hAnsi="Franklin Gothic Book" w:cs="Times New Roman"/>
          <w:lang w:val="en-US"/>
        </w:rPr>
        <w:t xml:space="preserve"> Stanbic Bank announced that it was no longer accepting paper-based transactions but instead customers should resort to business online. </w:t>
      </w:r>
      <w:r w:rsidR="00D1653C" w:rsidRPr="008D5FE8">
        <w:rPr>
          <w:rFonts w:ascii="Franklin Gothic Book" w:eastAsia="Calibri" w:hAnsi="Franklin Gothic Book" w:cs="Times New Roman"/>
          <w:lang w:val="en-US"/>
        </w:rPr>
        <w:t>CABS</w:t>
      </w:r>
      <w:r w:rsidRPr="008D5FE8">
        <w:rPr>
          <w:rFonts w:ascii="Franklin Gothic Book" w:eastAsia="Calibri" w:hAnsi="Franklin Gothic Book" w:cs="Times New Roman"/>
          <w:lang w:val="en-US"/>
        </w:rPr>
        <w:t xml:space="preserve">, a subsidiary of Old Mutual Zimbabwe, also announced similar measures, </w:t>
      </w:r>
      <w:r w:rsidR="008F1824">
        <w:rPr>
          <w:rFonts w:ascii="Franklin Gothic Book" w:eastAsia="Calibri" w:hAnsi="Franklin Gothic Book" w:cs="Times New Roman"/>
          <w:lang w:val="en-US"/>
        </w:rPr>
        <w:t>informing</w:t>
      </w:r>
      <w:r w:rsidRPr="008D5FE8">
        <w:rPr>
          <w:rFonts w:ascii="Franklin Gothic Book" w:eastAsia="Calibri" w:hAnsi="Franklin Gothic Book" w:cs="Times New Roman"/>
          <w:lang w:val="en-US"/>
        </w:rPr>
        <w:t xml:space="preserve"> its customers that hard copy instructions would not be accepted until further notice, putting additional strain on channels like telephone service, online banking and social media. In addition, some banks closed their branches. For example, First Capital Bank (FCB), formerly Barclays Bank, </w:t>
      </w:r>
      <w:r w:rsidRPr="008D5FE8">
        <w:rPr>
          <w:rFonts w:ascii="Franklin Gothic Book" w:eastAsia="Calibri" w:hAnsi="Franklin Gothic Book" w:cs="Times New Roman"/>
          <w:lang w:val="en-US"/>
        </w:rPr>
        <w:lastRenderedPageBreak/>
        <w:t>temporarily closed four</w:t>
      </w:r>
      <w:r w:rsidR="008F1824">
        <w:rPr>
          <w:rFonts w:ascii="Franklin Gothic Book" w:eastAsia="Calibri" w:hAnsi="Franklin Gothic Book" w:cs="Times New Roman"/>
          <w:lang w:val="en-US"/>
        </w:rPr>
        <w:t xml:space="preserve"> (4)</w:t>
      </w:r>
      <w:r w:rsidRPr="008D5FE8">
        <w:rPr>
          <w:rFonts w:ascii="Franklin Gothic Book" w:eastAsia="Calibri" w:hAnsi="Franklin Gothic Book" w:cs="Times New Roman"/>
          <w:lang w:val="en-US"/>
        </w:rPr>
        <w:t xml:space="preserve"> branches (Belmont, Borrowdale, Harare Street, First Street) on March 24, 2020 while Stanbic also temporarily shut down its Victoria Falls and Hwange Branches and Nedbank has announced the closure of six </w:t>
      </w:r>
      <w:r w:rsidR="008F1824">
        <w:rPr>
          <w:rFonts w:ascii="Franklin Gothic Book" w:eastAsia="Calibri" w:hAnsi="Franklin Gothic Book" w:cs="Times New Roman"/>
          <w:lang w:val="en-US"/>
        </w:rPr>
        <w:t xml:space="preserve">(6) </w:t>
      </w:r>
      <w:r w:rsidRPr="008D5FE8">
        <w:rPr>
          <w:rFonts w:ascii="Franklin Gothic Book" w:eastAsia="Calibri" w:hAnsi="Franklin Gothic Book" w:cs="Times New Roman"/>
          <w:lang w:val="en-US"/>
        </w:rPr>
        <w:t>of its branches. Hence, putting financial inclusion at the edge and reducing access to financial services to the general public.</w:t>
      </w:r>
    </w:p>
    <w:p w14:paraId="13B2C105" w14:textId="77777777" w:rsidR="008D5FE8" w:rsidRPr="008D5FE8" w:rsidRDefault="008D5FE8" w:rsidP="008D5FE8">
      <w:pPr>
        <w:spacing w:line="360" w:lineRule="auto"/>
        <w:jc w:val="both"/>
        <w:rPr>
          <w:rFonts w:ascii="Franklin Gothic Book" w:eastAsia="Calibri" w:hAnsi="Franklin Gothic Book" w:cs="Times New Roman"/>
          <w:lang w:val="en-US"/>
        </w:rPr>
      </w:pPr>
      <w:r w:rsidRPr="008D5FE8">
        <w:rPr>
          <w:rFonts w:ascii="Franklin Gothic Book" w:eastAsia="Calibri" w:hAnsi="Franklin Gothic Book" w:cs="Times New Roman"/>
          <w:lang w:val="en-US"/>
        </w:rPr>
        <w:t>The banking sector performed satisfactorily before the pandemic, that is, during the year ended 31 December 2019, as reflected by improved capital levels and earnings performance, as well as satisfactory asset quality and liquidity. The banking sector remained adequately capitalized with the average capital adequacy and tier 1 ratios of 39.56% and 27.87% as at 31 December 2019, respectively, above the regulatory minima of 12% and 8%, respectively. All banking institutions complied with the minimum regulatory capital adequacy and tier 1 ratios.</w:t>
      </w:r>
    </w:p>
    <w:p w14:paraId="4BA39756" w14:textId="428BF08C" w:rsidR="008D5FE8" w:rsidRDefault="008D5FE8" w:rsidP="008D5FE8">
      <w:pPr>
        <w:spacing w:line="360" w:lineRule="auto"/>
        <w:jc w:val="both"/>
        <w:rPr>
          <w:rFonts w:ascii="Franklin Gothic Book" w:eastAsia="Calibri" w:hAnsi="Franklin Gothic Book" w:cs="Times New Roman"/>
          <w:lang w:val="en-US"/>
        </w:rPr>
      </w:pPr>
      <w:r w:rsidRPr="008D5FE8">
        <w:rPr>
          <w:rFonts w:ascii="Franklin Gothic Book" w:eastAsia="Calibri" w:hAnsi="Franklin Gothic Book" w:cs="Times New Roman"/>
          <w:lang w:val="en-US"/>
        </w:rPr>
        <w:t xml:space="preserve">Loans to productive sectors of the economy constituted 82.50% of total sector loans as at 31 December 2019. This pandemic reduces the ability of economic agents in productive sectors to pay back the loan advances since the weakening of business and production will reduce loan repayment capacity and raise the rate on Non-Performing loans (NPLs) and banks’ Asset quality. In overall terms, </w:t>
      </w:r>
      <w:r w:rsidR="00572E49" w:rsidRPr="005603C8">
        <w:rPr>
          <w:rFonts w:ascii="Franklin Gothic Book" w:eastAsia="Calibri" w:hAnsi="Franklin Gothic Book" w:cs="Times New Roman"/>
          <w:lang w:val="en-US"/>
        </w:rPr>
        <w:t>Coronavirus</w:t>
      </w:r>
      <w:r w:rsidRPr="008D5FE8">
        <w:rPr>
          <w:rFonts w:ascii="Franklin Gothic Book" w:eastAsia="Calibri" w:hAnsi="Franklin Gothic Book" w:cs="Times New Roman"/>
          <w:lang w:val="en-US"/>
        </w:rPr>
        <w:t xml:space="preserve"> will weaken the balance sheets of banks and threaten the stability of the sector.</w:t>
      </w:r>
    </w:p>
    <w:p w14:paraId="0D97FA5D" w14:textId="77777777" w:rsidR="00523971" w:rsidRDefault="00523971" w:rsidP="008D5FE8">
      <w:pPr>
        <w:spacing w:line="360" w:lineRule="auto"/>
        <w:jc w:val="both"/>
        <w:rPr>
          <w:rFonts w:ascii="Franklin Gothic Book" w:eastAsia="Calibri" w:hAnsi="Franklin Gothic Book" w:cs="Times New Roman"/>
          <w:lang w:val="en-US"/>
        </w:rPr>
      </w:pPr>
    </w:p>
    <w:p w14:paraId="508FC5FF" w14:textId="77777777" w:rsidR="00523971" w:rsidRPr="00F440E3" w:rsidRDefault="00523971" w:rsidP="00523971">
      <w:pPr>
        <w:pStyle w:val="Caption"/>
        <w:jc w:val="both"/>
        <w:rPr>
          <w:rFonts w:ascii="Franklin Gothic Book" w:hAnsi="Franklin Gothic Book"/>
          <w:i w:val="0"/>
          <w:iCs w:val="0"/>
          <w:sz w:val="22"/>
          <w:szCs w:val="22"/>
        </w:rPr>
      </w:pPr>
      <w:r w:rsidRPr="00F440E3">
        <w:rPr>
          <w:rFonts w:ascii="Franklin Gothic Book" w:hAnsi="Franklin Gothic Book"/>
          <w:i w:val="0"/>
          <w:iCs w:val="0"/>
          <w:sz w:val="22"/>
          <w:szCs w:val="22"/>
        </w:rPr>
        <w:t xml:space="preserve">Figure </w:t>
      </w:r>
      <w:r w:rsidRPr="00F440E3">
        <w:rPr>
          <w:rFonts w:ascii="Franklin Gothic Book" w:hAnsi="Franklin Gothic Book"/>
          <w:i w:val="0"/>
          <w:iCs w:val="0"/>
          <w:sz w:val="22"/>
          <w:szCs w:val="22"/>
        </w:rPr>
        <w:fldChar w:fldCharType="begin"/>
      </w:r>
      <w:r w:rsidRPr="00F440E3">
        <w:rPr>
          <w:rFonts w:ascii="Franklin Gothic Book" w:hAnsi="Franklin Gothic Book"/>
          <w:i w:val="0"/>
          <w:iCs w:val="0"/>
          <w:sz w:val="22"/>
          <w:szCs w:val="22"/>
        </w:rPr>
        <w:instrText xml:space="preserve"> SEQ Figure \* ARABIC </w:instrText>
      </w:r>
      <w:r w:rsidRPr="00F440E3">
        <w:rPr>
          <w:rFonts w:ascii="Franklin Gothic Book" w:hAnsi="Franklin Gothic Book"/>
          <w:i w:val="0"/>
          <w:iCs w:val="0"/>
          <w:sz w:val="22"/>
          <w:szCs w:val="22"/>
        </w:rPr>
        <w:fldChar w:fldCharType="separate"/>
      </w:r>
      <w:r>
        <w:rPr>
          <w:rFonts w:ascii="Franklin Gothic Book" w:hAnsi="Franklin Gothic Book"/>
          <w:i w:val="0"/>
          <w:iCs w:val="0"/>
          <w:noProof/>
          <w:sz w:val="22"/>
          <w:szCs w:val="22"/>
        </w:rPr>
        <w:t>10</w:t>
      </w:r>
      <w:r w:rsidRPr="00F440E3">
        <w:rPr>
          <w:rFonts w:ascii="Franklin Gothic Book" w:hAnsi="Franklin Gothic Book"/>
          <w:i w:val="0"/>
          <w:iCs w:val="0"/>
          <w:sz w:val="22"/>
          <w:szCs w:val="22"/>
        </w:rPr>
        <w:fldChar w:fldCharType="end"/>
      </w:r>
      <w:r w:rsidRPr="00F440E3">
        <w:rPr>
          <w:rFonts w:ascii="Franklin Gothic Book" w:hAnsi="Franklin Gothic Book"/>
          <w:i w:val="0"/>
          <w:iCs w:val="0"/>
          <w:sz w:val="22"/>
          <w:szCs w:val="22"/>
        </w:rPr>
        <w:t>: Sectoral Distribution of loans as at 31 December 2019</w:t>
      </w:r>
    </w:p>
    <w:p w14:paraId="0734FA7A" w14:textId="77777777" w:rsidR="00F440E3" w:rsidRDefault="008D5FE8" w:rsidP="00F440E3">
      <w:pPr>
        <w:keepNext/>
        <w:spacing w:line="360" w:lineRule="auto"/>
        <w:jc w:val="both"/>
      </w:pPr>
      <w:r w:rsidRPr="008D5FE8">
        <w:rPr>
          <w:rFonts w:ascii="Franklin Gothic Book" w:eastAsia="Calibri" w:hAnsi="Franklin Gothic Book" w:cs="Times New Roman"/>
          <w:noProof/>
          <w:lang w:eastAsia="en-ZW"/>
        </w:rPr>
        <w:drawing>
          <wp:inline distT="0" distB="0" distL="0" distR="0" wp14:anchorId="53210F5F" wp14:editId="1B155AB8">
            <wp:extent cx="5800725" cy="3076575"/>
            <wp:effectExtent l="0" t="0" r="9525" b="9525"/>
            <wp:docPr id="6" name="Chart 6">
              <a:extLst xmlns:a="http://schemas.openxmlformats.org/drawingml/2006/main">
                <a:ext uri="{FF2B5EF4-FFF2-40B4-BE49-F238E27FC236}">
                  <a16:creationId xmlns:a16="http://schemas.microsoft.com/office/drawing/2014/main" id="{DB3C0CB6-6996-4AAD-8B7A-9DC85BBF1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D77EFE" w14:textId="57302AC4" w:rsidR="00A67A36" w:rsidRPr="00A67A36" w:rsidRDefault="00A67A36" w:rsidP="00A67A36">
      <w:pPr>
        <w:rPr>
          <w:rFonts w:ascii="Franklin Gothic Book" w:hAnsi="Franklin Gothic Book"/>
        </w:rPr>
      </w:pPr>
      <w:r w:rsidRPr="00A67A36">
        <w:rPr>
          <w:rFonts w:ascii="Franklin Gothic Book" w:hAnsi="Franklin Gothic Book"/>
        </w:rPr>
        <w:t>Source: Reserve Bank of Zimbabwe</w:t>
      </w:r>
    </w:p>
    <w:p w14:paraId="1798187C" w14:textId="283B7095" w:rsidR="008D5FE8" w:rsidRPr="008D5FE8" w:rsidRDefault="008D5FE8" w:rsidP="008D5FE8">
      <w:pPr>
        <w:spacing w:line="360" w:lineRule="auto"/>
        <w:jc w:val="both"/>
        <w:rPr>
          <w:rFonts w:ascii="Franklin Gothic Book" w:eastAsia="Calibri" w:hAnsi="Franklin Gothic Book" w:cs="Times New Roman"/>
          <w:lang w:val="en-US"/>
        </w:rPr>
      </w:pPr>
      <w:r w:rsidRPr="008D5FE8">
        <w:rPr>
          <w:rFonts w:ascii="Franklin Gothic Book" w:eastAsia="Calibri" w:hAnsi="Franklin Gothic Book" w:cs="Times New Roman"/>
          <w:lang w:val="en-US"/>
        </w:rPr>
        <w:lastRenderedPageBreak/>
        <w:t xml:space="preserve">The quality of the banking sector loan portfolio continued to improve, as reflected by the decline in the non-performing loans (NPLs) to total loans, from 3.95% as at 30 June 2019 to 1.75% as at 31 December 2019. The improvement in the NPLs ratio was mainly driven by an increase in total banking sector loans and advances during the period under review, as well as decline in total non-performing loans from $245.65 million as at 30 June 2019 to $221.62 million as at 31 December 2019. However, the pandemic is worrisome as it is anticipated to reverse the trend in NPLs to total loans which </w:t>
      </w:r>
      <w:r w:rsidR="008F1824">
        <w:rPr>
          <w:rFonts w:ascii="Franklin Gothic Book" w:eastAsia="Calibri" w:hAnsi="Franklin Gothic Book" w:cs="Times New Roman"/>
          <w:lang w:val="en-US"/>
        </w:rPr>
        <w:t>has been</w:t>
      </w:r>
      <w:r w:rsidRPr="008D5FE8">
        <w:rPr>
          <w:rFonts w:ascii="Franklin Gothic Book" w:eastAsia="Calibri" w:hAnsi="Franklin Gothic Book" w:cs="Times New Roman"/>
          <w:lang w:val="en-US"/>
        </w:rPr>
        <w:t xml:space="preserve"> encouraging.  </w:t>
      </w:r>
      <w:r w:rsidR="00572E49" w:rsidRPr="005603C8">
        <w:rPr>
          <w:rFonts w:ascii="Franklin Gothic Book" w:eastAsia="Calibri" w:hAnsi="Franklin Gothic Book" w:cs="Times New Roman"/>
          <w:lang w:val="en-US"/>
        </w:rPr>
        <w:t>Coronavirus</w:t>
      </w:r>
      <w:r w:rsidRPr="008D5FE8">
        <w:rPr>
          <w:rFonts w:ascii="Franklin Gothic Book" w:eastAsia="Calibri" w:hAnsi="Franklin Gothic Book" w:cs="Times New Roman"/>
          <w:lang w:val="en-US"/>
        </w:rPr>
        <w:t xml:space="preserve"> affects the bankable projects negatively by reducing productivity and profitability of businesses in different spheres. The projected outcome is increased loan repayment defaulting forcing banks to extend the repayment period, thus reducing excess reserves for the banks.</w:t>
      </w:r>
    </w:p>
    <w:p w14:paraId="1BCFBB11" w14:textId="77777777" w:rsidR="00523971" w:rsidRPr="00F440E3" w:rsidRDefault="00523971" w:rsidP="00523971">
      <w:pPr>
        <w:pStyle w:val="Caption"/>
        <w:jc w:val="both"/>
        <w:rPr>
          <w:rFonts w:ascii="Franklin Gothic Book" w:hAnsi="Franklin Gothic Book"/>
          <w:i w:val="0"/>
          <w:iCs w:val="0"/>
          <w:sz w:val="22"/>
          <w:szCs w:val="22"/>
        </w:rPr>
      </w:pPr>
      <w:r w:rsidRPr="00F440E3">
        <w:rPr>
          <w:rFonts w:ascii="Franklin Gothic Book" w:hAnsi="Franklin Gothic Book"/>
          <w:i w:val="0"/>
          <w:iCs w:val="0"/>
          <w:sz w:val="22"/>
          <w:szCs w:val="22"/>
        </w:rPr>
        <w:t xml:space="preserve">Figure </w:t>
      </w:r>
      <w:r w:rsidRPr="00F440E3">
        <w:rPr>
          <w:rFonts w:ascii="Franklin Gothic Book" w:hAnsi="Franklin Gothic Book"/>
          <w:i w:val="0"/>
          <w:iCs w:val="0"/>
          <w:sz w:val="22"/>
          <w:szCs w:val="22"/>
        </w:rPr>
        <w:fldChar w:fldCharType="begin"/>
      </w:r>
      <w:r w:rsidRPr="00F440E3">
        <w:rPr>
          <w:rFonts w:ascii="Franklin Gothic Book" w:hAnsi="Franklin Gothic Book"/>
          <w:i w:val="0"/>
          <w:iCs w:val="0"/>
          <w:sz w:val="22"/>
          <w:szCs w:val="22"/>
        </w:rPr>
        <w:instrText xml:space="preserve"> SEQ Figure \* ARABIC </w:instrText>
      </w:r>
      <w:r w:rsidRPr="00F440E3">
        <w:rPr>
          <w:rFonts w:ascii="Franklin Gothic Book" w:hAnsi="Franklin Gothic Book"/>
          <w:i w:val="0"/>
          <w:iCs w:val="0"/>
          <w:sz w:val="22"/>
          <w:szCs w:val="22"/>
        </w:rPr>
        <w:fldChar w:fldCharType="separate"/>
      </w:r>
      <w:r w:rsidRPr="00F440E3">
        <w:rPr>
          <w:rFonts w:ascii="Franklin Gothic Book" w:hAnsi="Franklin Gothic Book"/>
          <w:i w:val="0"/>
          <w:iCs w:val="0"/>
          <w:noProof/>
          <w:sz w:val="22"/>
          <w:szCs w:val="22"/>
        </w:rPr>
        <w:t>11</w:t>
      </w:r>
      <w:r w:rsidRPr="00F440E3">
        <w:rPr>
          <w:rFonts w:ascii="Franklin Gothic Book" w:hAnsi="Franklin Gothic Book"/>
          <w:i w:val="0"/>
          <w:iCs w:val="0"/>
          <w:sz w:val="22"/>
          <w:szCs w:val="22"/>
        </w:rPr>
        <w:fldChar w:fldCharType="end"/>
      </w:r>
      <w:r w:rsidRPr="00F440E3">
        <w:rPr>
          <w:rFonts w:ascii="Franklin Gothic Book" w:hAnsi="Franklin Gothic Book"/>
          <w:i w:val="0"/>
          <w:iCs w:val="0"/>
          <w:sz w:val="22"/>
          <w:szCs w:val="22"/>
        </w:rPr>
        <w:t>: Non-Performing Loan to Total Loans ratio, Dec 2014 – 2019</w:t>
      </w:r>
    </w:p>
    <w:p w14:paraId="11B8644F" w14:textId="77777777" w:rsidR="00F440E3" w:rsidRDefault="008D5FE8" w:rsidP="00F440E3">
      <w:pPr>
        <w:keepNext/>
        <w:spacing w:line="360" w:lineRule="auto"/>
        <w:jc w:val="both"/>
      </w:pPr>
      <w:r w:rsidRPr="008D5FE8">
        <w:rPr>
          <w:rFonts w:ascii="Franklin Gothic Book" w:eastAsia="Calibri" w:hAnsi="Franklin Gothic Book" w:cs="Times New Roman"/>
          <w:noProof/>
          <w:lang w:eastAsia="en-ZW"/>
        </w:rPr>
        <w:drawing>
          <wp:inline distT="0" distB="0" distL="0" distR="0" wp14:anchorId="59D7F55D" wp14:editId="4D601D77">
            <wp:extent cx="5943600" cy="2943225"/>
            <wp:effectExtent l="0" t="0" r="0" b="9525"/>
            <wp:docPr id="7" name="Chart 7">
              <a:extLst xmlns:a="http://schemas.openxmlformats.org/drawingml/2006/main">
                <a:ext uri="{FF2B5EF4-FFF2-40B4-BE49-F238E27FC236}">
                  <a16:creationId xmlns:a16="http://schemas.microsoft.com/office/drawing/2014/main" id="{35F7F394-0F2B-4D26-90D5-377BCFE0A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C6BFE0" w14:textId="36AC4BB5" w:rsidR="00A67A36" w:rsidRPr="00A67A36" w:rsidRDefault="00A67A36" w:rsidP="00A67A36">
      <w:pPr>
        <w:rPr>
          <w:rFonts w:ascii="Franklin Gothic Book" w:hAnsi="Franklin Gothic Book"/>
        </w:rPr>
      </w:pPr>
      <w:r w:rsidRPr="00A67A36">
        <w:rPr>
          <w:rFonts w:ascii="Franklin Gothic Book" w:hAnsi="Franklin Gothic Book"/>
        </w:rPr>
        <w:t>Source: Reserve Bank of Zimbabwe</w:t>
      </w:r>
    </w:p>
    <w:p w14:paraId="35462FA5" w14:textId="194980C1" w:rsidR="008D5FE8" w:rsidRPr="008D5FE8" w:rsidRDefault="008D5FE8" w:rsidP="008F1824">
      <w:pPr>
        <w:spacing w:line="360" w:lineRule="auto"/>
        <w:jc w:val="both"/>
        <w:rPr>
          <w:rFonts w:ascii="Franklin Gothic Book" w:eastAsia="Calibri" w:hAnsi="Franklin Gothic Book" w:cs="Times New Roman"/>
        </w:rPr>
      </w:pPr>
      <w:r w:rsidRPr="008D5FE8">
        <w:rPr>
          <w:rFonts w:ascii="Franklin Gothic Book" w:eastAsia="Calibri" w:hAnsi="Franklin Gothic Book" w:cs="Times New Roman"/>
          <w:lang w:val="en-US"/>
        </w:rPr>
        <w:t>The banks are anticipated to face worsening asset quality and slowing loan growth as the </w:t>
      </w:r>
      <w:hyperlink r:id="rId19" w:history="1">
        <w:r w:rsidR="00572E49" w:rsidRPr="005603C8">
          <w:rPr>
            <w:rFonts w:ascii="Franklin Gothic Book" w:eastAsia="Calibri" w:hAnsi="Franklin Gothic Book" w:cs="Times New Roman"/>
            <w:lang w:val="en-US"/>
          </w:rPr>
          <w:t>Coronavirus</w:t>
        </w:r>
        <w:r w:rsidRPr="008D5FE8">
          <w:rPr>
            <w:rFonts w:ascii="Franklin Gothic Book" w:eastAsia="Calibri" w:hAnsi="Franklin Gothic Book" w:cs="Times New Roman"/>
            <w:lang w:val="en-US"/>
          </w:rPr>
          <w:t xml:space="preserve"> outbreak</w:t>
        </w:r>
      </w:hyperlink>
      <w:r w:rsidRPr="008D5FE8">
        <w:rPr>
          <w:rFonts w:ascii="Franklin Gothic Book" w:eastAsia="Calibri" w:hAnsi="Franklin Gothic Book" w:cs="Times New Roman"/>
          <w:lang w:val="en-US"/>
        </w:rPr>
        <w:t> hits trade and consumer banking because of extended disruption in economic activities.</w:t>
      </w:r>
      <w:r w:rsidR="008F1824">
        <w:rPr>
          <w:rFonts w:ascii="Franklin Gothic Book" w:eastAsia="Calibri" w:hAnsi="Franklin Gothic Book" w:cs="Times New Roman"/>
        </w:rPr>
        <w:t xml:space="preserve"> </w:t>
      </w:r>
      <w:r w:rsidRPr="008D5FE8">
        <w:rPr>
          <w:rFonts w:ascii="Franklin Gothic Book" w:eastAsia="Calibri" w:hAnsi="Franklin Gothic Book" w:cs="Times New Roman"/>
        </w:rPr>
        <w:t xml:space="preserve">Both businesses and individuals in Africa might find they are uninsured for any COVID-19 impacts as losses related to an epidemic or pandemic would usually not be covered in insurance policies, irrespective of whether the insurance covers business interruption, property damage, product losses or personal life and non-life insurance or even travel insurance. As COVID-19 is a ‘new disease’, it would not have been specifically listed in existing insurance contracts. Many business interruption policies will include clauses for extended damage, but it is unlikely that these extensions will provide </w:t>
      </w:r>
      <w:r w:rsidRPr="008D5FE8">
        <w:rPr>
          <w:rFonts w:ascii="Franklin Gothic Book" w:eastAsia="Calibri" w:hAnsi="Franklin Gothic Book" w:cs="Times New Roman"/>
        </w:rPr>
        <w:lastRenderedPageBreak/>
        <w:t>coverage under the current circumstances. As such, the wording of policies should be carefully checked.</w:t>
      </w:r>
    </w:p>
    <w:p w14:paraId="609E9E16" w14:textId="77777777"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Some insurance companies in Zimbabwe who provide cancelled event coverage that specifically includes references to epidemics or pandemics could be impacted. Reuters reported that financial services firm Jefferies estimated the insured cost of the Tokyo Olympics to be around USD 2 billion – including television rights, hospitality and sponsorship.</w:t>
      </w:r>
    </w:p>
    <w:p w14:paraId="4023A755" w14:textId="6F2F5E45" w:rsidR="008D5FE8" w:rsidRPr="008D5FE8" w:rsidRDefault="008D5FE8" w:rsidP="008D5FE8">
      <w:pPr>
        <w:spacing w:before="240" w:line="360" w:lineRule="auto"/>
        <w:jc w:val="both"/>
        <w:rPr>
          <w:rFonts w:ascii="Franklin Gothic Book" w:eastAsia="Calibri" w:hAnsi="Franklin Gothic Book" w:cs="Times New Roman"/>
          <w:b/>
        </w:rPr>
      </w:pPr>
      <w:r w:rsidRPr="008D5FE8">
        <w:rPr>
          <w:rFonts w:ascii="Franklin Gothic Book" w:eastAsia="Calibri" w:hAnsi="Franklin Gothic Book" w:cs="Times New Roman"/>
          <w:b/>
        </w:rPr>
        <w:t xml:space="preserve">The other side of </w:t>
      </w:r>
      <w:r w:rsidR="00572E49" w:rsidRPr="005603C8">
        <w:rPr>
          <w:rFonts w:ascii="Franklin Gothic Book" w:eastAsia="Calibri" w:hAnsi="Franklin Gothic Book" w:cs="Times New Roman"/>
          <w:b/>
        </w:rPr>
        <w:t>Coronavirus</w:t>
      </w:r>
    </w:p>
    <w:p w14:paraId="32D72C97" w14:textId="05BB10B3"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It is not all gloomy though for Africa. The IMF and the World Bank are making available $50</w:t>
      </w:r>
      <w:r w:rsidR="008F1824">
        <w:rPr>
          <w:rFonts w:ascii="Franklin Gothic Book" w:eastAsia="Calibri" w:hAnsi="Franklin Gothic Book" w:cs="Times New Roman"/>
        </w:rPr>
        <w:t xml:space="preserve"> </w:t>
      </w:r>
      <w:r w:rsidRPr="008D5FE8">
        <w:rPr>
          <w:rFonts w:ascii="Franklin Gothic Book" w:eastAsia="Calibri" w:hAnsi="Franklin Gothic Book" w:cs="Times New Roman"/>
        </w:rPr>
        <w:t>billion and US$ 12 billion</w:t>
      </w:r>
      <w:r w:rsidR="008F1824">
        <w:rPr>
          <w:rFonts w:ascii="Franklin Gothic Book" w:eastAsia="Calibri" w:hAnsi="Franklin Gothic Book" w:cs="Times New Roman"/>
        </w:rPr>
        <w:t>, respectively,</w:t>
      </w:r>
      <w:r w:rsidRPr="008D5FE8">
        <w:rPr>
          <w:rFonts w:ascii="Franklin Gothic Book" w:eastAsia="Calibri" w:hAnsi="Franklin Gothic Book" w:cs="Times New Roman"/>
        </w:rPr>
        <w:t xml:space="preserve"> in emergency funding to help poor and middle-income countries with weak health systems respond to the </w:t>
      </w:r>
      <w:r w:rsidR="00A768A5">
        <w:rPr>
          <w:rFonts w:ascii="Franklin Gothic Book" w:eastAsia="Calibri" w:hAnsi="Franklin Gothic Book" w:cs="Times New Roman"/>
        </w:rPr>
        <w:t>pandemic</w:t>
      </w:r>
      <w:r w:rsidRPr="008D5FE8">
        <w:rPr>
          <w:rFonts w:ascii="Franklin Gothic Book" w:eastAsia="Calibri" w:hAnsi="Franklin Gothic Book" w:cs="Times New Roman"/>
        </w:rPr>
        <w:t>. About $10</w:t>
      </w:r>
      <w:r w:rsidR="008F1824">
        <w:rPr>
          <w:rFonts w:ascii="Franklin Gothic Book" w:eastAsia="Calibri" w:hAnsi="Franklin Gothic Book" w:cs="Times New Roman"/>
        </w:rPr>
        <w:t xml:space="preserve"> billion </w:t>
      </w:r>
      <w:r w:rsidRPr="008D5FE8">
        <w:rPr>
          <w:rFonts w:ascii="Franklin Gothic Book" w:eastAsia="Calibri" w:hAnsi="Franklin Gothic Book" w:cs="Times New Roman"/>
        </w:rPr>
        <w:t xml:space="preserve">of IMF’s US$ 50 </w:t>
      </w:r>
      <w:r w:rsidR="0067770F" w:rsidRPr="005603C8">
        <w:rPr>
          <w:rFonts w:ascii="Franklin Gothic Book" w:eastAsia="Calibri" w:hAnsi="Franklin Gothic Book" w:cs="Times New Roman"/>
        </w:rPr>
        <w:t>billion can</w:t>
      </w:r>
      <w:r w:rsidRPr="008D5FE8">
        <w:rPr>
          <w:rFonts w:ascii="Franklin Gothic Book" w:eastAsia="Calibri" w:hAnsi="Franklin Gothic Book" w:cs="Times New Roman"/>
        </w:rPr>
        <w:t xml:space="preserve"> be accessed by the poorest countries at zero</w:t>
      </w:r>
      <w:r w:rsidR="008F1824">
        <w:rPr>
          <w:rFonts w:ascii="Franklin Gothic Book" w:eastAsia="Calibri" w:hAnsi="Franklin Gothic Book" w:cs="Times New Roman"/>
        </w:rPr>
        <w:t xml:space="preserve"> (0)</w:t>
      </w:r>
      <w:r w:rsidRPr="008D5FE8">
        <w:rPr>
          <w:rFonts w:ascii="Franklin Gothic Book" w:eastAsia="Calibri" w:hAnsi="Franklin Gothic Book" w:cs="Times New Roman"/>
        </w:rPr>
        <w:t xml:space="preserve"> interest for up to 10 years, while many middle-income countries have access to a pool of about $40</w:t>
      </w:r>
      <w:r w:rsidR="008F1824">
        <w:rPr>
          <w:rFonts w:ascii="Franklin Gothic Book" w:eastAsia="Calibri" w:hAnsi="Franklin Gothic Book" w:cs="Times New Roman"/>
        </w:rPr>
        <w:t xml:space="preserve"> billion</w:t>
      </w:r>
      <w:r w:rsidRPr="008D5FE8">
        <w:rPr>
          <w:rFonts w:ascii="Franklin Gothic Book" w:eastAsia="Calibri" w:hAnsi="Franklin Gothic Book" w:cs="Times New Roman"/>
        </w:rPr>
        <w:t xml:space="preserve"> at low interest for up to five years. The United States of America has pledged US$470</w:t>
      </w:r>
      <w:r w:rsidR="008F1824">
        <w:rPr>
          <w:rFonts w:ascii="Franklin Gothic Book" w:eastAsia="Calibri" w:hAnsi="Franklin Gothic Book" w:cs="Times New Roman"/>
        </w:rPr>
        <w:t>,</w:t>
      </w:r>
      <w:r w:rsidRPr="008D5FE8">
        <w:rPr>
          <w:rFonts w:ascii="Franklin Gothic Book" w:eastAsia="Calibri" w:hAnsi="Franklin Gothic Book" w:cs="Times New Roman"/>
        </w:rPr>
        <w:t xml:space="preserve">000 to combat COVID-19 in Zimbabwe and to complement World Health Organisation (WHO) efforts to prepare large-scale testing for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in the country. The Zimbabwe Treasury has availed ZWL$ 500 million to fight against COVID-19 while the 2% Intermediated Money Transfer Tax (IMTT) will be channelled toward COVID-</w:t>
      </w:r>
      <w:r w:rsidR="008F1824" w:rsidRPr="008D5FE8">
        <w:rPr>
          <w:rFonts w:ascii="Franklin Gothic Book" w:eastAsia="Calibri" w:hAnsi="Franklin Gothic Book" w:cs="Times New Roman"/>
        </w:rPr>
        <w:t>19 related</w:t>
      </w:r>
      <w:r w:rsidRPr="008D5FE8">
        <w:rPr>
          <w:rFonts w:ascii="Franklin Gothic Book" w:eastAsia="Calibri" w:hAnsi="Franklin Gothic Book" w:cs="Times New Roman"/>
        </w:rPr>
        <w:t xml:space="preserve"> mitigation expenditures. The Zimbabwean government has also set aside resources to cover one (1) million vulnerable households under a Cash Transfer Programme </w:t>
      </w:r>
      <w:proofErr w:type="gramStart"/>
      <w:r w:rsidRPr="008D5FE8">
        <w:rPr>
          <w:rFonts w:ascii="Franklin Gothic Book" w:eastAsia="Calibri" w:hAnsi="Franklin Gothic Book" w:cs="Times New Roman"/>
        </w:rPr>
        <w:t>(</w:t>
      </w:r>
      <w:r w:rsidR="00A768A5">
        <w:rPr>
          <w:rFonts w:ascii="Franklin Gothic Book" w:eastAsia="Calibri" w:hAnsi="Franklin Gothic Book" w:cs="Times New Roman"/>
        </w:rPr>
        <w:t xml:space="preserve"> released</w:t>
      </w:r>
      <w:proofErr w:type="gramEnd"/>
      <w:r w:rsidR="00A768A5">
        <w:rPr>
          <w:rFonts w:ascii="Franklin Gothic Book" w:eastAsia="Calibri" w:hAnsi="Franklin Gothic Book" w:cs="Times New Roman"/>
        </w:rPr>
        <w:t xml:space="preserve"> in tranches of </w:t>
      </w:r>
      <w:r w:rsidRPr="008D5FE8">
        <w:rPr>
          <w:rFonts w:ascii="Franklin Gothic Book" w:eastAsia="Calibri" w:hAnsi="Franklin Gothic Book" w:cs="Times New Roman"/>
        </w:rPr>
        <w:t xml:space="preserve">ZWL$ 200 million per month). The United Kingdom Government and the Global Fund have </w:t>
      </w:r>
      <w:r w:rsidR="0067770F" w:rsidRPr="005603C8">
        <w:rPr>
          <w:rFonts w:ascii="Franklin Gothic Book" w:eastAsia="Calibri" w:hAnsi="Franklin Gothic Book" w:cs="Times New Roman"/>
        </w:rPr>
        <w:t>pledged £</w:t>
      </w:r>
      <w:r w:rsidRPr="008D5FE8">
        <w:rPr>
          <w:rFonts w:ascii="Franklin Gothic Book" w:eastAsia="Calibri" w:hAnsi="Franklin Gothic Book" w:cs="Times New Roman"/>
        </w:rPr>
        <w:t xml:space="preserve"> 1.7 million and US$ 25 million respectively to support Zimbabwe in its fight against the pandemic. </w:t>
      </w:r>
      <w:r w:rsidR="00112423">
        <w:rPr>
          <w:rFonts w:ascii="Franklin Gothic Book" w:eastAsia="Calibri" w:hAnsi="Franklin Gothic Book" w:cs="Times New Roman"/>
        </w:rPr>
        <w:t xml:space="preserve"> The UK’s Department for International Development also announced £ 35.4 million (US$ 43.6 million) of aid to support the COVID-19 response and help mitigate the crisis on the poorest and most vulnerable communities. </w:t>
      </w:r>
      <w:r w:rsidR="008F1824">
        <w:rPr>
          <w:rFonts w:ascii="Franklin Gothic Book" w:eastAsia="Calibri" w:hAnsi="Franklin Gothic Book" w:cs="Times New Roman"/>
        </w:rPr>
        <w:t xml:space="preserve">A US$ 715 million humanitarian response plan has </w:t>
      </w:r>
      <w:r w:rsidR="00E86AC6">
        <w:rPr>
          <w:rFonts w:ascii="Franklin Gothic Book" w:eastAsia="Calibri" w:hAnsi="Franklin Gothic Book" w:cs="Times New Roman"/>
        </w:rPr>
        <w:t>been launched by UN Zimbabwe and the Government of Zimbabwe.</w:t>
      </w:r>
    </w:p>
    <w:p w14:paraId="03D665FD" w14:textId="146EA9F8" w:rsidR="008D5FE8" w:rsidRPr="008D5FE8"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 xml:space="preserve">Anecdotally, certain sectors such as the pharmaceutical sector are experiencing business booms as people are stampeding to purchase gloves, masks, immune </w:t>
      </w:r>
      <w:r w:rsidR="00380130">
        <w:rPr>
          <w:rFonts w:ascii="Franklin Gothic Book" w:eastAsia="Calibri" w:hAnsi="Franklin Gothic Book" w:cs="Times New Roman"/>
        </w:rPr>
        <w:t xml:space="preserve">system </w:t>
      </w:r>
      <w:r w:rsidRPr="008D5FE8">
        <w:rPr>
          <w:rFonts w:ascii="Franklin Gothic Book" w:eastAsia="Calibri" w:hAnsi="Franklin Gothic Book" w:cs="Times New Roman"/>
        </w:rPr>
        <w:t>boosting table</w:t>
      </w:r>
      <w:r w:rsidR="008F1824">
        <w:rPr>
          <w:rFonts w:ascii="Franklin Gothic Book" w:eastAsia="Calibri" w:hAnsi="Franklin Gothic Book" w:cs="Times New Roman"/>
        </w:rPr>
        <w:t>t</w:t>
      </w:r>
      <w:r w:rsidRPr="008D5FE8">
        <w:rPr>
          <w:rFonts w:ascii="Franklin Gothic Book" w:eastAsia="Calibri" w:hAnsi="Franklin Gothic Book" w:cs="Times New Roman"/>
        </w:rPr>
        <w:t xml:space="preserve">s and other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-proof paraphernalia. However, the lock-down in India (a major supply of generic drugs to Zimbabwe) may lead to drug shortages. Also, the health insurance sector may experience high volumes of business as more people will seek insurance against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In addition to that, in a worst-case scenario, funeral assurance companies may experience rise in demand for mortuary and crematorium services if cases and deaths increase in the country. Food retailers have also made quick revenues as consumers are hoarding basic commodities, unsure of when things will go back to normal. </w:t>
      </w:r>
      <w:r w:rsidRPr="008D5FE8">
        <w:rPr>
          <w:rFonts w:ascii="Franklin Gothic Book" w:eastAsia="Calibri" w:hAnsi="Franklin Gothic Book" w:cs="Times New Roman"/>
        </w:rPr>
        <w:lastRenderedPageBreak/>
        <w:t xml:space="preserve">The pandemic and its resulting measures of social distancing, limiting public gatherings and working from home (WFH) have also created vast business opportunities in sectors such as EdTech, biotech and sanitary products, while employment in crucial sectors as health, homecare, virtual assistance and deliveries is expected to increase. </w:t>
      </w:r>
    </w:p>
    <w:p w14:paraId="5313592D" w14:textId="127C0E12" w:rsidR="008D5FE8" w:rsidRPr="008D5FE8" w:rsidRDefault="008D5FE8" w:rsidP="008D5FE8">
      <w:pPr>
        <w:spacing w:before="240" w:line="360" w:lineRule="auto"/>
        <w:jc w:val="both"/>
        <w:rPr>
          <w:rFonts w:ascii="Franklin Gothic Book" w:eastAsia="Calibri" w:hAnsi="Franklin Gothic Book" w:cs="Times New Roman"/>
          <w:b/>
          <w:bCs/>
        </w:rPr>
      </w:pPr>
      <w:r w:rsidRPr="008D5FE8">
        <w:rPr>
          <w:rFonts w:ascii="Franklin Gothic Book" w:eastAsia="Calibri" w:hAnsi="Franklin Gothic Book" w:cs="Times New Roman"/>
          <w:b/>
          <w:bCs/>
        </w:rPr>
        <w:t>Conclusion</w:t>
      </w:r>
    </w:p>
    <w:p w14:paraId="28BA4BE4" w14:textId="2D9E2C82" w:rsidR="00E86AC6"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 xml:space="preserve">It is unavoidable that the novel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w:t>
      </w:r>
      <w:r w:rsidR="005D0D78">
        <w:rPr>
          <w:rFonts w:ascii="Franklin Gothic Book" w:eastAsia="Calibri" w:hAnsi="Franklin Gothic Book" w:cs="Times New Roman"/>
        </w:rPr>
        <w:t>pandemic</w:t>
      </w:r>
      <w:r w:rsidRPr="008D5FE8">
        <w:rPr>
          <w:rFonts w:ascii="Franklin Gothic Book" w:eastAsia="Calibri" w:hAnsi="Franklin Gothic Book" w:cs="Times New Roman"/>
        </w:rPr>
        <w:t xml:space="preserve"> will have considerable impact on Zimbabwe, the African economy and society.  The United Nations Economic Commission for Africa estimated that the continent could lose up to 1.4 percentage points of GDP growth as a result of the pandemic, </w:t>
      </w:r>
      <w:r w:rsidR="00C742BB" w:rsidRPr="008D5FE8">
        <w:rPr>
          <w:rFonts w:ascii="Franklin Gothic Book" w:eastAsia="Calibri" w:hAnsi="Franklin Gothic Book" w:cs="Times New Roman"/>
        </w:rPr>
        <w:t xml:space="preserve">while </w:t>
      </w:r>
      <w:hyperlink r:id="rId20" w:history="1">
        <w:r w:rsidRPr="008D5FE8">
          <w:rPr>
            <w:rFonts w:ascii="Franklin Gothic Book" w:eastAsia="Calibri" w:hAnsi="Franklin Gothic Book" w:cs="Times New Roman"/>
          </w:rPr>
          <w:t>Brookings</w:t>
        </w:r>
      </w:hyperlink>
      <w:r w:rsidR="005D0D78" w:rsidRPr="005D0D78">
        <w:rPr>
          <w:rFonts w:ascii="Franklin Gothic Book" w:eastAsia="Calibri" w:hAnsi="Franklin Gothic Book" w:cs="Times New Roman"/>
        </w:rPr>
        <w:t xml:space="preserve"> </w:t>
      </w:r>
      <w:r w:rsidRPr="008D5FE8">
        <w:rPr>
          <w:rFonts w:ascii="Franklin Gothic Book" w:eastAsia="Calibri" w:hAnsi="Franklin Gothic Book" w:cs="Times New Roman"/>
        </w:rPr>
        <w:t xml:space="preserve">estimates to up to 2.1 percentage points in lost GDP growth for sub-Saharan Africa if the pandemic and global disruptions are severe and endure. The areas which </w:t>
      </w:r>
      <w:r w:rsidR="005D0D78">
        <w:rPr>
          <w:rFonts w:ascii="Franklin Gothic Book" w:eastAsia="Calibri" w:hAnsi="Franklin Gothic Book" w:cs="Times New Roman"/>
        </w:rPr>
        <w:t>this paper</w:t>
      </w:r>
      <w:r w:rsidRPr="008D5FE8">
        <w:rPr>
          <w:rFonts w:ascii="Franklin Gothic Book" w:eastAsia="Calibri" w:hAnsi="Franklin Gothic Book" w:cs="Times New Roman"/>
        </w:rPr>
        <w:t xml:space="preserve"> ha</w:t>
      </w:r>
      <w:r w:rsidR="005D0D78">
        <w:rPr>
          <w:rFonts w:ascii="Franklin Gothic Book" w:eastAsia="Calibri" w:hAnsi="Franklin Gothic Book" w:cs="Times New Roman"/>
        </w:rPr>
        <w:t>s</w:t>
      </w:r>
      <w:r w:rsidRPr="008D5FE8">
        <w:rPr>
          <w:rFonts w:ascii="Franklin Gothic Book" w:eastAsia="Calibri" w:hAnsi="Franklin Gothic Book" w:cs="Times New Roman"/>
        </w:rPr>
        <w:t xml:space="preserve"> looked at above are not exhaustive. We already know that revenues from industries highly reliant on social interaction such as transport, hoteling, sports, bars and night clubs </w:t>
      </w:r>
      <w:r w:rsidR="00E86AC6">
        <w:rPr>
          <w:rFonts w:ascii="Franklin Gothic Book" w:eastAsia="Calibri" w:hAnsi="Franklin Gothic Book" w:cs="Times New Roman"/>
        </w:rPr>
        <w:t xml:space="preserve">are likely to be </w:t>
      </w:r>
      <w:r w:rsidRPr="008D5FE8">
        <w:rPr>
          <w:rFonts w:ascii="Franklin Gothic Book" w:eastAsia="Calibri" w:hAnsi="Franklin Gothic Book" w:cs="Times New Roman"/>
        </w:rPr>
        <w:t>plummet</w:t>
      </w:r>
      <w:r w:rsidR="00E86AC6">
        <w:rPr>
          <w:rFonts w:ascii="Franklin Gothic Book" w:eastAsia="Calibri" w:hAnsi="Franklin Gothic Book" w:cs="Times New Roman"/>
        </w:rPr>
        <w:t>ing</w:t>
      </w:r>
      <w:r w:rsidRPr="008D5FE8">
        <w:rPr>
          <w:rFonts w:ascii="Franklin Gothic Book" w:eastAsia="Calibri" w:hAnsi="Franklin Gothic Book" w:cs="Times New Roman"/>
        </w:rPr>
        <w:t>, while those requiring less interaction such as agriculture and the gig economy are less affected. Poverty-stricken Zimbabwean Diaspora are highly-dependent on remittances (the country’s second source of forex after exports) and may be negatively impacted by job losses in affected countries</w:t>
      </w:r>
      <w:r w:rsidR="005D0D78">
        <w:rPr>
          <w:rFonts w:ascii="Franklin Gothic Book" w:eastAsia="Calibri" w:hAnsi="Franklin Gothic Book" w:cs="Times New Roman"/>
        </w:rPr>
        <w:t xml:space="preserve"> through lower remittances</w:t>
      </w:r>
      <w:r w:rsidRPr="008D5FE8">
        <w:rPr>
          <w:rFonts w:ascii="Franklin Gothic Book" w:eastAsia="Calibri" w:hAnsi="Franklin Gothic Book" w:cs="Times New Roman"/>
        </w:rPr>
        <w:t xml:space="preserve">.  We also know that the South African Rand </w:t>
      </w:r>
      <w:r w:rsidR="00E86AC6">
        <w:rPr>
          <w:rFonts w:ascii="Franklin Gothic Book" w:eastAsia="Calibri" w:hAnsi="Franklin Gothic Book" w:cs="Times New Roman"/>
        </w:rPr>
        <w:t xml:space="preserve">(Zimbabwe’s major trade partner) </w:t>
      </w:r>
      <w:r w:rsidRPr="008D5FE8">
        <w:rPr>
          <w:rFonts w:ascii="Franklin Gothic Book" w:eastAsia="Calibri" w:hAnsi="Franklin Gothic Book" w:cs="Times New Roman"/>
        </w:rPr>
        <w:t xml:space="preserve">is trading at an all-time low rate. </w:t>
      </w:r>
    </w:p>
    <w:p w14:paraId="333AE8C8" w14:textId="5A971CD2" w:rsidR="00000E43" w:rsidRDefault="008D5FE8" w:rsidP="008D5FE8">
      <w:pPr>
        <w:spacing w:before="240" w:line="360" w:lineRule="auto"/>
        <w:jc w:val="both"/>
        <w:rPr>
          <w:rFonts w:ascii="Franklin Gothic Book" w:eastAsia="Calibri" w:hAnsi="Franklin Gothic Book" w:cs="Times New Roman"/>
        </w:rPr>
      </w:pPr>
      <w:r w:rsidRPr="008D5FE8">
        <w:rPr>
          <w:rFonts w:ascii="Franklin Gothic Book" w:eastAsia="Calibri" w:hAnsi="Franklin Gothic Book" w:cs="Times New Roman"/>
        </w:rPr>
        <w:t>As to what extent a longer global</w:t>
      </w:r>
      <w:r w:rsidR="00E86AC6">
        <w:rPr>
          <w:rFonts w:ascii="Franklin Gothic Book" w:eastAsia="Calibri" w:hAnsi="Franklin Gothic Book" w:cs="Times New Roman"/>
        </w:rPr>
        <w:t xml:space="preserve"> or national</w:t>
      </w:r>
      <w:r w:rsidRPr="008D5FE8">
        <w:rPr>
          <w:rFonts w:ascii="Franklin Gothic Book" w:eastAsia="Calibri" w:hAnsi="Franklin Gothic Book" w:cs="Times New Roman"/>
        </w:rPr>
        <w:t xml:space="preserve"> shutdown will impact Zimbabwe, this will require further analysis of a range of data (</w:t>
      </w:r>
      <w:r w:rsidR="005D0D78">
        <w:rPr>
          <w:rFonts w:ascii="Franklin Gothic Book" w:eastAsia="Calibri" w:hAnsi="Franklin Gothic Book" w:cs="Times New Roman"/>
        </w:rPr>
        <w:t xml:space="preserve">such as quarterly employment figures, </w:t>
      </w:r>
      <w:r w:rsidRPr="008D5FE8">
        <w:rPr>
          <w:rFonts w:ascii="Franklin Gothic Book" w:eastAsia="Calibri" w:hAnsi="Franklin Gothic Book" w:cs="Times New Roman"/>
        </w:rPr>
        <w:t xml:space="preserve">trade, </w:t>
      </w:r>
      <w:r w:rsidR="00112423">
        <w:rPr>
          <w:rFonts w:ascii="Franklin Gothic Book" w:eastAsia="Calibri" w:hAnsi="Franklin Gothic Book" w:cs="Times New Roman"/>
        </w:rPr>
        <w:t>VAT</w:t>
      </w:r>
      <w:r w:rsidRPr="008D5FE8">
        <w:rPr>
          <w:rFonts w:ascii="Franklin Gothic Book" w:eastAsia="Calibri" w:hAnsi="Franklin Gothic Book" w:cs="Times New Roman"/>
        </w:rPr>
        <w:t xml:space="preserve">, manufacturing </w:t>
      </w:r>
      <w:proofErr w:type="spellStart"/>
      <w:r w:rsidRPr="008D5FE8">
        <w:rPr>
          <w:rFonts w:ascii="Franklin Gothic Book" w:eastAsia="Calibri" w:hAnsi="Franklin Gothic Book" w:cs="Times New Roman"/>
        </w:rPr>
        <w:t>e.t.c</w:t>
      </w:r>
      <w:proofErr w:type="spellEnd"/>
      <w:r w:rsidRPr="008D5FE8">
        <w:rPr>
          <w:rFonts w:ascii="Franklin Gothic Book" w:eastAsia="Calibri" w:hAnsi="Franklin Gothic Book" w:cs="Times New Roman"/>
        </w:rPr>
        <w:t>) between now and when these measures have been lifted. However, we expect a major change globally in terms of trade dependence, the way people work, live,</w:t>
      </w:r>
      <w:r w:rsidR="005D0D78">
        <w:rPr>
          <w:rFonts w:ascii="Franklin Gothic Book" w:eastAsia="Calibri" w:hAnsi="Franklin Gothic Book" w:cs="Times New Roman"/>
        </w:rPr>
        <w:t xml:space="preserve"> learn,</w:t>
      </w:r>
      <w:r w:rsidRPr="008D5FE8">
        <w:rPr>
          <w:rFonts w:ascii="Franklin Gothic Book" w:eastAsia="Calibri" w:hAnsi="Franklin Gothic Book" w:cs="Times New Roman"/>
        </w:rPr>
        <w:t xml:space="preserve"> purchase and sell.  A look at how other countries have cushioned businesses and offered social support is an area where Zimbabwe can learn some lessons. A probable follow-up exercise is a qualitative study on perceptions and </w:t>
      </w:r>
      <w:r w:rsidR="005D0D78" w:rsidRPr="008D5FE8">
        <w:rPr>
          <w:rFonts w:ascii="Franklin Gothic Book" w:eastAsia="Calibri" w:hAnsi="Franklin Gothic Book" w:cs="Times New Roman"/>
        </w:rPr>
        <w:t>adaptive</w:t>
      </w:r>
      <w:r w:rsidR="005D0D78">
        <w:rPr>
          <w:rFonts w:ascii="Franklin Gothic Book" w:eastAsia="Calibri" w:hAnsi="Franklin Gothic Book" w:cs="Times New Roman"/>
        </w:rPr>
        <w:t>ness measures</w:t>
      </w:r>
      <w:r w:rsidRPr="008D5FE8">
        <w:rPr>
          <w:rFonts w:ascii="Franklin Gothic Book" w:eastAsia="Calibri" w:hAnsi="Franklin Gothic Book" w:cs="Times New Roman"/>
        </w:rPr>
        <w:t xml:space="preserve"> of main economic actors in Zimbabwe towards </w:t>
      </w:r>
      <w:r w:rsidR="00572E49" w:rsidRPr="005603C8">
        <w:rPr>
          <w:rFonts w:ascii="Franklin Gothic Book" w:eastAsia="Calibri" w:hAnsi="Franklin Gothic Book" w:cs="Times New Roman"/>
        </w:rPr>
        <w:t>Coronavirus</w:t>
      </w:r>
      <w:r w:rsidRPr="008D5FE8">
        <w:rPr>
          <w:rFonts w:ascii="Franklin Gothic Book" w:eastAsia="Calibri" w:hAnsi="Franklin Gothic Book" w:cs="Times New Roman"/>
        </w:rPr>
        <w:t xml:space="preserve">. Coherent, coordinated, and credible policy responses at country-level will provide the best chance at limiting the economic fallout from this pandemic. A range of possible economic policies – in addition to the current ones of social assistance cash transfer program, duty relief on COVID-19 essential goods, and extension of VAT deadlines- which need to be implemented in the short, medium to long term to alleviate the adverse economic impact on the economy and livelihoods </w:t>
      </w:r>
      <w:r w:rsidR="00CB3208">
        <w:rPr>
          <w:rFonts w:ascii="Franklin Gothic Book" w:eastAsia="Calibri" w:hAnsi="Franklin Gothic Book" w:cs="Times New Roman"/>
        </w:rPr>
        <w:t>are areas to be explored</w:t>
      </w:r>
      <w:bookmarkStart w:id="0" w:name="_GoBack"/>
      <w:bookmarkEnd w:id="0"/>
      <w:r w:rsidRPr="008D5FE8">
        <w:rPr>
          <w:rFonts w:ascii="Franklin Gothic Book" w:eastAsia="Calibri" w:hAnsi="Franklin Gothic Book" w:cs="Times New Roman"/>
        </w:rPr>
        <w:t>.</w:t>
      </w:r>
    </w:p>
    <w:p w14:paraId="23708880" w14:textId="5BCB03DF" w:rsidR="00D1653C" w:rsidRPr="00B27B82" w:rsidRDefault="00000E43" w:rsidP="00B27B82">
      <w:pPr>
        <w:spacing w:before="240" w:line="360" w:lineRule="auto"/>
        <w:jc w:val="both"/>
        <w:rPr>
          <w:rFonts w:ascii="Franklin Gothic Book" w:eastAsia="Calibri" w:hAnsi="Franklin Gothic Book" w:cs="Times New Roman"/>
          <w:i/>
          <w:iCs/>
        </w:rPr>
      </w:pPr>
      <w:r w:rsidRPr="00100068">
        <w:rPr>
          <w:rFonts w:ascii="Franklin Gothic Book" w:eastAsia="Calibri" w:hAnsi="Franklin Gothic Book" w:cs="Times New Roman"/>
          <w:i/>
          <w:iCs/>
        </w:rPr>
        <w:t>Holistic, Empirical and Applied Research Solutions (HEARS) is a</w:t>
      </w:r>
      <w:r w:rsidR="00100068" w:rsidRPr="00100068">
        <w:rPr>
          <w:rFonts w:ascii="Franklin Gothic Book" w:eastAsia="Calibri" w:hAnsi="Franklin Gothic Book" w:cs="Times New Roman"/>
          <w:i/>
          <w:iCs/>
        </w:rPr>
        <w:t xml:space="preserve"> specialist</w:t>
      </w:r>
      <w:r w:rsidRPr="00100068">
        <w:rPr>
          <w:rFonts w:ascii="Franklin Gothic Book" w:eastAsia="Calibri" w:hAnsi="Franklin Gothic Book" w:cs="Times New Roman"/>
          <w:i/>
          <w:iCs/>
        </w:rPr>
        <w:t xml:space="preserve"> </w:t>
      </w:r>
      <w:r w:rsidR="00100068" w:rsidRPr="00100068">
        <w:rPr>
          <w:rFonts w:ascii="Franklin Gothic Book" w:eastAsia="Calibri" w:hAnsi="Franklin Gothic Book" w:cs="Times New Roman"/>
          <w:i/>
          <w:iCs/>
        </w:rPr>
        <w:t xml:space="preserve">economic and development </w:t>
      </w:r>
      <w:r w:rsidRPr="00100068">
        <w:rPr>
          <w:rFonts w:ascii="Franklin Gothic Book" w:eastAsia="Calibri" w:hAnsi="Franklin Gothic Book" w:cs="Times New Roman"/>
          <w:i/>
          <w:iCs/>
        </w:rPr>
        <w:t xml:space="preserve">consulting firm based in Harare, Zimbabwe. For more </w:t>
      </w:r>
      <w:r w:rsidR="00F440E3">
        <w:rPr>
          <w:rFonts w:ascii="Franklin Gothic Book" w:eastAsia="Calibri" w:hAnsi="Franklin Gothic Book" w:cs="Times New Roman"/>
          <w:i/>
          <w:iCs/>
        </w:rPr>
        <w:t>comments, questions</w:t>
      </w:r>
      <w:r w:rsidRPr="00100068">
        <w:rPr>
          <w:rFonts w:ascii="Franklin Gothic Book" w:eastAsia="Calibri" w:hAnsi="Franklin Gothic Book" w:cs="Times New Roman"/>
          <w:i/>
          <w:iCs/>
        </w:rPr>
        <w:t xml:space="preserve">, partnerships and funding for more research like this, please email </w:t>
      </w:r>
      <w:hyperlink r:id="rId21" w:history="1">
        <w:r w:rsidRPr="00100068">
          <w:rPr>
            <w:rStyle w:val="Hyperlink"/>
            <w:rFonts w:ascii="Franklin Gothic Book" w:eastAsia="Calibri" w:hAnsi="Franklin Gothic Book" w:cs="Times New Roman"/>
            <w:i/>
            <w:iCs/>
          </w:rPr>
          <w:t>research@hears.co.zw</w:t>
        </w:r>
      </w:hyperlink>
      <w:r w:rsidRPr="00100068">
        <w:rPr>
          <w:rFonts w:ascii="Franklin Gothic Book" w:eastAsia="Calibri" w:hAnsi="Franklin Gothic Book" w:cs="Times New Roman"/>
          <w:i/>
          <w:iCs/>
        </w:rPr>
        <w:t xml:space="preserve"> . </w:t>
      </w:r>
      <w:r w:rsidR="00100068" w:rsidRPr="00100068">
        <w:rPr>
          <w:rFonts w:ascii="Franklin Gothic Book" w:eastAsia="Calibri" w:hAnsi="Franklin Gothic Book" w:cs="Times New Roman"/>
          <w:i/>
          <w:iCs/>
        </w:rPr>
        <w:t xml:space="preserve">We believe in free flow of information </w:t>
      </w:r>
      <w:r w:rsidR="00100068" w:rsidRPr="00100068">
        <w:rPr>
          <w:rFonts w:ascii="Franklin Gothic Book" w:eastAsia="Calibri" w:hAnsi="Franklin Gothic Book" w:cs="Times New Roman"/>
          <w:i/>
          <w:iCs/>
        </w:rPr>
        <w:lastRenderedPageBreak/>
        <w:t xml:space="preserve">and you can republish our knowledge products for free, online or in print on condition that HEARS is acknowledged. </w:t>
      </w:r>
    </w:p>
    <w:sectPr w:rsidR="00D1653C" w:rsidRPr="00B27B82" w:rsidSect="00D1653C">
      <w:footerReference w:type="defaul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CDC94" w14:textId="77777777" w:rsidR="00660B94" w:rsidRDefault="00660B94">
      <w:pPr>
        <w:spacing w:after="0" w:line="240" w:lineRule="auto"/>
      </w:pPr>
      <w:r>
        <w:separator/>
      </w:r>
    </w:p>
  </w:endnote>
  <w:endnote w:type="continuationSeparator" w:id="0">
    <w:p w14:paraId="0CE47638" w14:textId="77777777" w:rsidR="00660B94" w:rsidRDefault="0066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959995"/>
      <w:docPartObj>
        <w:docPartGallery w:val="Page Numbers (Bottom of Page)"/>
        <w:docPartUnique/>
      </w:docPartObj>
    </w:sdtPr>
    <w:sdtEndPr>
      <w:rPr>
        <w:color w:val="7F7F7F"/>
        <w:spacing w:val="60"/>
      </w:rPr>
    </w:sdtEndPr>
    <w:sdtContent>
      <w:p w14:paraId="471CD79E" w14:textId="17801111" w:rsidR="00D1653C" w:rsidRDefault="00D1653C" w:rsidP="008D5FE8">
        <w:pPr>
          <w:pStyle w:val="Footer"/>
          <w:pBdr>
            <w:top w:val="single" w:sz="4" w:space="1" w:color="D9D9D9"/>
          </w:pBdr>
          <w:rPr>
            <w:b/>
            <w:bCs/>
          </w:rPr>
        </w:pPr>
        <w:r>
          <w:fldChar w:fldCharType="begin"/>
        </w:r>
        <w:r>
          <w:instrText xml:space="preserve"> PAGE   \* MERGEFORMAT </w:instrText>
        </w:r>
        <w:r>
          <w:fldChar w:fldCharType="separate"/>
        </w:r>
        <w:r w:rsidR="00601406" w:rsidRPr="00601406">
          <w:rPr>
            <w:b/>
            <w:bCs/>
            <w:noProof/>
          </w:rPr>
          <w:t>13</w:t>
        </w:r>
        <w:r>
          <w:rPr>
            <w:b/>
            <w:bCs/>
            <w:noProof/>
          </w:rPr>
          <w:fldChar w:fldCharType="end"/>
        </w:r>
        <w:r>
          <w:rPr>
            <w:b/>
            <w:bCs/>
          </w:rPr>
          <w:t xml:space="preserve"> | </w:t>
        </w:r>
        <w:r w:rsidRPr="008D5FE8">
          <w:rPr>
            <w:color w:val="7F7F7F"/>
            <w:spacing w:val="60"/>
          </w:rPr>
          <w:t>Page</w:t>
        </w:r>
      </w:p>
    </w:sdtContent>
  </w:sdt>
  <w:p w14:paraId="3888B5DF" w14:textId="77777777" w:rsidR="00D1653C" w:rsidRDefault="00D16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B6270" w14:textId="77777777" w:rsidR="00660B94" w:rsidRDefault="00660B94">
      <w:pPr>
        <w:spacing w:after="0" w:line="240" w:lineRule="auto"/>
      </w:pPr>
      <w:r>
        <w:separator/>
      </w:r>
    </w:p>
  </w:footnote>
  <w:footnote w:type="continuationSeparator" w:id="0">
    <w:p w14:paraId="7FAD721E" w14:textId="77777777" w:rsidR="00660B94" w:rsidRDefault="00660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E8"/>
    <w:rsid w:val="00000E43"/>
    <w:rsid w:val="00044FED"/>
    <w:rsid w:val="000553FA"/>
    <w:rsid w:val="0005559A"/>
    <w:rsid w:val="0007159F"/>
    <w:rsid w:val="0007228C"/>
    <w:rsid w:val="000733D8"/>
    <w:rsid w:val="000A484F"/>
    <w:rsid w:val="000E0EDD"/>
    <w:rsid w:val="00100068"/>
    <w:rsid w:val="00102CD0"/>
    <w:rsid w:val="001061A1"/>
    <w:rsid w:val="00112423"/>
    <w:rsid w:val="00121631"/>
    <w:rsid w:val="00130774"/>
    <w:rsid w:val="00154232"/>
    <w:rsid w:val="00171612"/>
    <w:rsid w:val="00180E31"/>
    <w:rsid w:val="001850F2"/>
    <w:rsid w:val="0019601A"/>
    <w:rsid w:val="0019778F"/>
    <w:rsid w:val="001B211D"/>
    <w:rsid w:val="001C5FCA"/>
    <w:rsid w:val="001E7D41"/>
    <w:rsid w:val="002223C9"/>
    <w:rsid w:val="0027469F"/>
    <w:rsid w:val="00292474"/>
    <w:rsid w:val="002B13A0"/>
    <w:rsid w:val="002B65F7"/>
    <w:rsid w:val="002F57AD"/>
    <w:rsid w:val="00367ACD"/>
    <w:rsid w:val="003769BD"/>
    <w:rsid w:val="00380130"/>
    <w:rsid w:val="00382438"/>
    <w:rsid w:val="0042565E"/>
    <w:rsid w:val="0044260A"/>
    <w:rsid w:val="00460260"/>
    <w:rsid w:val="0048606D"/>
    <w:rsid w:val="004B1983"/>
    <w:rsid w:val="004B239D"/>
    <w:rsid w:val="004C0A9B"/>
    <w:rsid w:val="004C17BB"/>
    <w:rsid w:val="004E68B3"/>
    <w:rsid w:val="00506E66"/>
    <w:rsid w:val="00510850"/>
    <w:rsid w:val="00523971"/>
    <w:rsid w:val="005363A0"/>
    <w:rsid w:val="00546134"/>
    <w:rsid w:val="005603C8"/>
    <w:rsid w:val="00572E49"/>
    <w:rsid w:val="00573762"/>
    <w:rsid w:val="00574D9C"/>
    <w:rsid w:val="005D0D78"/>
    <w:rsid w:val="005E1040"/>
    <w:rsid w:val="005F6A52"/>
    <w:rsid w:val="00601406"/>
    <w:rsid w:val="00617822"/>
    <w:rsid w:val="00631D1F"/>
    <w:rsid w:val="00636819"/>
    <w:rsid w:val="00660B94"/>
    <w:rsid w:val="0067770F"/>
    <w:rsid w:val="006863CF"/>
    <w:rsid w:val="006B0AB6"/>
    <w:rsid w:val="006F4B3B"/>
    <w:rsid w:val="0070748F"/>
    <w:rsid w:val="00724600"/>
    <w:rsid w:val="007308C5"/>
    <w:rsid w:val="00784CB9"/>
    <w:rsid w:val="007E523E"/>
    <w:rsid w:val="007F0582"/>
    <w:rsid w:val="007F179E"/>
    <w:rsid w:val="00811A72"/>
    <w:rsid w:val="008373AF"/>
    <w:rsid w:val="008377F9"/>
    <w:rsid w:val="008417F6"/>
    <w:rsid w:val="00845D56"/>
    <w:rsid w:val="00851E71"/>
    <w:rsid w:val="00856FAF"/>
    <w:rsid w:val="008854E2"/>
    <w:rsid w:val="008D5FE8"/>
    <w:rsid w:val="008F1824"/>
    <w:rsid w:val="0093093B"/>
    <w:rsid w:val="00930C47"/>
    <w:rsid w:val="00935691"/>
    <w:rsid w:val="00940D8E"/>
    <w:rsid w:val="00956DD5"/>
    <w:rsid w:val="009C6BEC"/>
    <w:rsid w:val="00A072FD"/>
    <w:rsid w:val="00A55DE6"/>
    <w:rsid w:val="00A67A36"/>
    <w:rsid w:val="00A73738"/>
    <w:rsid w:val="00A768A5"/>
    <w:rsid w:val="00AE2737"/>
    <w:rsid w:val="00AF5AC0"/>
    <w:rsid w:val="00B0133C"/>
    <w:rsid w:val="00B27B82"/>
    <w:rsid w:val="00B52066"/>
    <w:rsid w:val="00B64D7D"/>
    <w:rsid w:val="00B80E9D"/>
    <w:rsid w:val="00B82874"/>
    <w:rsid w:val="00BA1084"/>
    <w:rsid w:val="00BA132F"/>
    <w:rsid w:val="00BC3273"/>
    <w:rsid w:val="00BC606F"/>
    <w:rsid w:val="00BD4F4E"/>
    <w:rsid w:val="00C37CE0"/>
    <w:rsid w:val="00C61BF5"/>
    <w:rsid w:val="00C622AF"/>
    <w:rsid w:val="00C66619"/>
    <w:rsid w:val="00C742BB"/>
    <w:rsid w:val="00CA2893"/>
    <w:rsid w:val="00CB3208"/>
    <w:rsid w:val="00CF3D0A"/>
    <w:rsid w:val="00D1653C"/>
    <w:rsid w:val="00D61433"/>
    <w:rsid w:val="00D71B41"/>
    <w:rsid w:val="00D96FB4"/>
    <w:rsid w:val="00DB441B"/>
    <w:rsid w:val="00DF020F"/>
    <w:rsid w:val="00DF6725"/>
    <w:rsid w:val="00E06447"/>
    <w:rsid w:val="00E3744F"/>
    <w:rsid w:val="00E86AC6"/>
    <w:rsid w:val="00EA6F13"/>
    <w:rsid w:val="00ED6D52"/>
    <w:rsid w:val="00EE0AE4"/>
    <w:rsid w:val="00F124A5"/>
    <w:rsid w:val="00F2554A"/>
    <w:rsid w:val="00F4020D"/>
    <w:rsid w:val="00F4087B"/>
    <w:rsid w:val="00F440E3"/>
    <w:rsid w:val="00F50C35"/>
    <w:rsid w:val="00F6331C"/>
    <w:rsid w:val="00F66E0F"/>
    <w:rsid w:val="00F732BC"/>
    <w:rsid w:val="00F80D7A"/>
    <w:rsid w:val="00FD55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69ACD"/>
  <w15:chartTrackingRefBased/>
  <w15:docId w15:val="{BB3E1E0C-EA02-40E9-A32D-79DA203C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D5F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5FE8"/>
  </w:style>
  <w:style w:type="character" w:styleId="CommentReference">
    <w:name w:val="annotation reference"/>
    <w:basedOn w:val="DefaultParagraphFont"/>
    <w:uiPriority w:val="99"/>
    <w:semiHidden/>
    <w:unhideWhenUsed/>
    <w:rsid w:val="008D5FE8"/>
    <w:rPr>
      <w:sz w:val="16"/>
      <w:szCs w:val="16"/>
    </w:rPr>
  </w:style>
  <w:style w:type="paragraph" w:customStyle="1" w:styleId="CommentText1">
    <w:name w:val="Comment Text1"/>
    <w:basedOn w:val="Normal"/>
    <w:next w:val="CommentText"/>
    <w:link w:val="CommentTextChar"/>
    <w:uiPriority w:val="99"/>
    <w:semiHidden/>
    <w:unhideWhenUsed/>
    <w:rsid w:val="008D5FE8"/>
    <w:pPr>
      <w:spacing w:line="240" w:lineRule="auto"/>
    </w:pPr>
    <w:rPr>
      <w:sz w:val="20"/>
      <w:szCs w:val="20"/>
    </w:rPr>
  </w:style>
  <w:style w:type="character" w:customStyle="1" w:styleId="CommentTextChar">
    <w:name w:val="Comment Text Char"/>
    <w:basedOn w:val="DefaultParagraphFont"/>
    <w:link w:val="CommentText1"/>
    <w:uiPriority w:val="99"/>
    <w:semiHidden/>
    <w:rsid w:val="008D5FE8"/>
    <w:rPr>
      <w:sz w:val="20"/>
      <w:szCs w:val="20"/>
    </w:rPr>
  </w:style>
  <w:style w:type="paragraph" w:styleId="CommentText">
    <w:name w:val="annotation text"/>
    <w:basedOn w:val="Normal"/>
    <w:link w:val="CommentTextChar1"/>
    <w:uiPriority w:val="99"/>
    <w:semiHidden/>
    <w:unhideWhenUsed/>
    <w:rsid w:val="008D5FE8"/>
    <w:pPr>
      <w:spacing w:line="240" w:lineRule="auto"/>
    </w:pPr>
    <w:rPr>
      <w:sz w:val="20"/>
      <w:szCs w:val="20"/>
    </w:rPr>
  </w:style>
  <w:style w:type="character" w:customStyle="1" w:styleId="CommentTextChar1">
    <w:name w:val="Comment Text Char1"/>
    <w:basedOn w:val="DefaultParagraphFont"/>
    <w:link w:val="CommentText"/>
    <w:uiPriority w:val="99"/>
    <w:semiHidden/>
    <w:rsid w:val="008D5FE8"/>
    <w:rPr>
      <w:sz w:val="20"/>
      <w:szCs w:val="20"/>
    </w:rPr>
  </w:style>
  <w:style w:type="paragraph" w:styleId="BalloonText">
    <w:name w:val="Balloon Text"/>
    <w:basedOn w:val="Normal"/>
    <w:link w:val="BalloonTextChar"/>
    <w:uiPriority w:val="99"/>
    <w:semiHidden/>
    <w:unhideWhenUsed/>
    <w:rsid w:val="008D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E8"/>
    <w:rPr>
      <w:rFonts w:ascii="Segoe UI" w:hAnsi="Segoe UI" w:cs="Segoe UI"/>
      <w:sz w:val="18"/>
      <w:szCs w:val="18"/>
    </w:rPr>
  </w:style>
  <w:style w:type="paragraph" w:styleId="Caption">
    <w:name w:val="caption"/>
    <w:basedOn w:val="Normal"/>
    <w:next w:val="Normal"/>
    <w:uiPriority w:val="35"/>
    <w:unhideWhenUsed/>
    <w:qFormat/>
    <w:rsid w:val="00572E49"/>
    <w:pPr>
      <w:spacing w:after="200" w:line="240" w:lineRule="auto"/>
    </w:pPr>
    <w:rPr>
      <w:i/>
      <w:iCs/>
      <w:color w:val="44546A" w:themeColor="text2"/>
      <w:sz w:val="18"/>
      <w:szCs w:val="18"/>
    </w:rPr>
  </w:style>
  <w:style w:type="character" w:styleId="Hyperlink">
    <w:name w:val="Hyperlink"/>
    <w:basedOn w:val="DefaultParagraphFont"/>
    <w:uiPriority w:val="99"/>
    <w:unhideWhenUsed/>
    <w:rsid w:val="008854E2"/>
    <w:rPr>
      <w:color w:val="0000FF"/>
      <w:u w:val="single"/>
    </w:rPr>
  </w:style>
  <w:style w:type="paragraph" w:styleId="ListParagraph">
    <w:name w:val="List Paragraph"/>
    <w:basedOn w:val="Normal"/>
    <w:uiPriority w:val="34"/>
    <w:qFormat/>
    <w:rsid w:val="008854E2"/>
    <w:pPr>
      <w:spacing w:after="0" w:line="240" w:lineRule="auto"/>
      <w:ind w:left="720"/>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B239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82874"/>
    <w:rPr>
      <w:b/>
      <w:bCs/>
    </w:rPr>
  </w:style>
  <w:style w:type="character" w:customStyle="1" w:styleId="CommentSubjectChar">
    <w:name w:val="Comment Subject Char"/>
    <w:basedOn w:val="CommentTextChar1"/>
    <w:link w:val="CommentSubject"/>
    <w:uiPriority w:val="99"/>
    <w:semiHidden/>
    <w:rsid w:val="00B82874"/>
    <w:rPr>
      <w:b/>
      <w:bCs/>
      <w:sz w:val="20"/>
      <w:szCs w:val="20"/>
    </w:rPr>
  </w:style>
  <w:style w:type="character" w:customStyle="1" w:styleId="UnresolvedMention2">
    <w:name w:val="Unresolved Mention2"/>
    <w:basedOn w:val="DefaultParagraphFont"/>
    <w:uiPriority w:val="99"/>
    <w:semiHidden/>
    <w:unhideWhenUsed/>
    <w:rsid w:val="0000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webSettings" Target="webSettings.xml"/><Relationship Id="rId21" Type="http://schemas.openxmlformats.org/officeDocument/2006/relationships/hyperlink" Target="mailto:research@hears.co.zw" TargetMode="External"/><Relationship Id="rId7" Type="http://schemas.microsoft.com/office/2014/relationships/chartEx" Target="charts/chartEx1.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www.brookings.edu/blog/africa-in-focus/2020/03/18/strategies-for-coping-with-the-health-and-economic-effects-of-the-covid-19-pandemic-in-africa/" TargetMode="Externa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www.aljazeera.com/topics/events/coronavirus-outbreak.html" TargetMode="Externa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6.xlsx"/></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tk\Desktop\Exports%20by%20category_ZW.xlsx" TargetMode="External"/><Relationship Id="rId4"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694163229596297E-2"/>
          <c:y val="0.15256922110088353"/>
          <c:w val="0.94390901137357841"/>
          <c:h val="0.8340638054046059"/>
        </c:manualLayout>
      </c:layout>
      <c:pie3DChart>
        <c:varyColors val="1"/>
        <c:ser>
          <c:idx val="0"/>
          <c:order val="0"/>
          <c:tx>
            <c:strRef>
              <c:f>'Avg Export 2009-2019'!$C$7</c:f>
              <c:strCache>
                <c:ptCount val="1"/>
                <c:pt idx="0">
                  <c:v>Annual Exports (Avg 2009-2019)</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5463-4C8F-94C3-8F8EE6F4932E}"/>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5463-4C8F-94C3-8F8EE6F4932E}"/>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5463-4C8F-94C3-8F8EE6F4932E}"/>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5463-4C8F-94C3-8F8EE6F4932E}"/>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5463-4C8F-94C3-8F8EE6F4932E}"/>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5463-4C8F-94C3-8F8EE6F4932E}"/>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D-5463-4C8F-94C3-8F8EE6F4932E}"/>
              </c:ext>
            </c:extLst>
          </c:dPt>
          <c:dLbls>
            <c:dLbl>
              <c:idx val="0"/>
              <c:layout>
                <c:manualLayout>
                  <c:x val="-2.2637503645377661E-2"/>
                  <c:y val="0.1305426786440425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63-4C8F-94C3-8F8EE6F4932E}"/>
                </c:ext>
              </c:extLst>
            </c:dLbl>
            <c:dLbl>
              <c:idx val="1"/>
              <c:layout>
                <c:manualLayout>
                  <c:x val="5.306003416239585E-4"/>
                  <c:y val="0.2066123248678422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63-4C8F-94C3-8F8EE6F4932E}"/>
                </c:ext>
              </c:extLst>
            </c:dLbl>
            <c:dLbl>
              <c:idx val="2"/>
              <c:layout>
                <c:manualLayout>
                  <c:x val="-6.9841269841269867E-3"/>
                  <c:y val="-5.63032789915345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63-4C8F-94C3-8F8EE6F4932E}"/>
                </c:ext>
              </c:extLst>
            </c:dLbl>
            <c:dLbl>
              <c:idx val="3"/>
              <c:layout>
                <c:manualLayout>
                  <c:x val="7.1627713202516352E-3"/>
                  <c:y val="-7.4585043066799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463-4C8F-94C3-8F8EE6F4932E}"/>
                </c:ext>
              </c:extLst>
            </c:dLbl>
            <c:dLbl>
              <c:idx val="4"/>
              <c:layout>
                <c:manualLayout>
                  <c:x val="6.5888763904511941E-2"/>
                  <c:y val="-8.723226498096188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463-4C8F-94C3-8F8EE6F4932E}"/>
                </c:ext>
              </c:extLst>
            </c:dLbl>
            <c:dLbl>
              <c:idx val="5"/>
              <c:layout>
                <c:manualLayout>
                  <c:x val="0.16224971878515185"/>
                  <c:y val="-7.34675243059406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463-4C8F-94C3-8F8EE6F4932E}"/>
                </c:ext>
              </c:extLst>
            </c:dLbl>
            <c:dLbl>
              <c:idx val="6"/>
              <c:layout>
                <c:manualLayout>
                  <c:x val="0.23518126900804065"/>
                  <c:y val="-3.059517208236294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463-4C8F-94C3-8F8EE6F493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'Avg Export 2009-2019'!$B$8:$B$14</c:f>
              <c:strCache>
                <c:ptCount val="7"/>
                <c:pt idx="0">
                  <c:v>S. Africa</c:v>
                </c:pt>
                <c:pt idx="1">
                  <c:v>Mozambique</c:v>
                </c:pt>
                <c:pt idx="2">
                  <c:v>UAE</c:v>
                </c:pt>
                <c:pt idx="3">
                  <c:v>Zambia</c:v>
                </c:pt>
                <c:pt idx="4">
                  <c:v>China</c:v>
                </c:pt>
                <c:pt idx="5">
                  <c:v>Blgium</c:v>
                </c:pt>
                <c:pt idx="6">
                  <c:v>Other</c:v>
                </c:pt>
              </c:strCache>
            </c:strRef>
          </c:cat>
          <c:val>
            <c:numRef>
              <c:f>'Avg Export 2009-2019'!$C$8:$C$14</c:f>
              <c:numCache>
                <c:formatCode>#,##0.00</c:formatCode>
                <c:ptCount val="7"/>
                <c:pt idx="0">
                  <c:v>2099.2486727272726</c:v>
                </c:pt>
                <c:pt idx="1">
                  <c:v>300.93649263636365</c:v>
                </c:pt>
                <c:pt idx="2">
                  <c:v>288.58799863636364</c:v>
                </c:pt>
                <c:pt idx="3">
                  <c:v>81.949080272727286</c:v>
                </c:pt>
                <c:pt idx="4">
                  <c:v>66.349999999999994</c:v>
                </c:pt>
                <c:pt idx="5">
                  <c:v>52.52885454545455</c:v>
                </c:pt>
                <c:pt idx="6">
                  <c:v>262.13</c:v>
                </c:pt>
              </c:numCache>
            </c:numRef>
          </c:val>
          <c:extLst>
            <c:ext xmlns:c16="http://schemas.microsoft.com/office/drawing/2014/chart" uri="{C3380CC4-5D6E-409C-BE32-E72D297353CC}">
              <c16:uniqueId val="{0000000E-5463-4C8F-94C3-8F8EE6F4932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rgbClr val="70AD47"/>
              </a:solidFill>
              <a:round/>
            </a:ln>
            <a:effectLst/>
          </c:spPr>
          <c:marker>
            <c:symbol val="circle"/>
            <c:size val="5"/>
            <c:spPr>
              <a:solidFill>
                <a:schemeClr val="accent1"/>
              </a:solidFill>
              <a:ln w="9525">
                <a:solidFill>
                  <a:srgbClr val="70AD47"/>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Sheet2!$C$2:$C$15</c:f>
              <c:strCache>
                <c:ptCount val="14"/>
                <c:pt idx="0">
                  <c:v>Dec-2014</c:v>
                </c:pt>
                <c:pt idx="1">
                  <c:v>Dec-2015</c:v>
                </c:pt>
                <c:pt idx="2">
                  <c:v>Dec-2016</c:v>
                </c:pt>
                <c:pt idx="3">
                  <c:v>Mar-2017</c:v>
                </c:pt>
                <c:pt idx="4">
                  <c:v>Jun-2017</c:v>
                </c:pt>
                <c:pt idx="5">
                  <c:v>Sep-2017</c:v>
                </c:pt>
                <c:pt idx="6">
                  <c:v>Dec-2017</c:v>
                </c:pt>
                <c:pt idx="7">
                  <c:v>Mar-2018</c:v>
                </c:pt>
                <c:pt idx="8">
                  <c:v>Jun-2018</c:v>
                </c:pt>
                <c:pt idx="9">
                  <c:v>Sep-2018</c:v>
                </c:pt>
                <c:pt idx="10">
                  <c:v>Dec-2018</c:v>
                </c:pt>
                <c:pt idx="11">
                  <c:v>Jun-2019</c:v>
                </c:pt>
                <c:pt idx="12">
                  <c:v>Sep-2019</c:v>
                </c:pt>
                <c:pt idx="13">
                  <c:v>Dec-2019</c:v>
                </c:pt>
              </c:strCache>
            </c:strRef>
          </c:cat>
          <c:val>
            <c:numRef>
              <c:f>Sheet2!$D$2:$D$15</c:f>
              <c:numCache>
                <c:formatCode>0.00%</c:formatCode>
                <c:ptCount val="14"/>
                <c:pt idx="0">
                  <c:v>0.15909999999999999</c:v>
                </c:pt>
                <c:pt idx="1">
                  <c:v>0.1082</c:v>
                </c:pt>
                <c:pt idx="2">
                  <c:v>7.8700000000000006E-2</c:v>
                </c:pt>
                <c:pt idx="3">
                  <c:v>8.3900000000000002E-2</c:v>
                </c:pt>
                <c:pt idx="4">
                  <c:v>7.9500000000000001E-2</c:v>
                </c:pt>
                <c:pt idx="5">
                  <c:v>8.6300000000000002E-2</c:v>
                </c:pt>
                <c:pt idx="6">
                  <c:v>7.0800000000000002E-2</c:v>
                </c:pt>
                <c:pt idx="7">
                  <c:v>7.0599999999999996E-2</c:v>
                </c:pt>
                <c:pt idx="8">
                  <c:v>6.2199999999999998E-2</c:v>
                </c:pt>
                <c:pt idx="9">
                  <c:v>6.6900000000000001E-2</c:v>
                </c:pt>
                <c:pt idx="10">
                  <c:v>6.9199999999999998E-2</c:v>
                </c:pt>
                <c:pt idx="11">
                  <c:v>3.95E-2</c:v>
                </c:pt>
                <c:pt idx="12">
                  <c:v>3.2300000000000002E-2</c:v>
                </c:pt>
                <c:pt idx="13">
                  <c:v>1.7500000000000002E-2</c:v>
                </c:pt>
              </c:numCache>
            </c:numRef>
          </c:val>
          <c:smooth val="0"/>
          <c:extLst>
            <c:ext xmlns:c16="http://schemas.microsoft.com/office/drawing/2014/chart" uri="{C3380CC4-5D6E-409C-BE32-E72D297353CC}">
              <c16:uniqueId val="{00000000-E382-4980-B725-28909D844029}"/>
            </c:ext>
          </c:extLst>
        </c:ser>
        <c:dLbls>
          <c:dLblPos val="t"/>
          <c:showLegendKey val="0"/>
          <c:showVal val="1"/>
          <c:showCatName val="0"/>
          <c:showSerName val="0"/>
          <c:showPercent val="0"/>
          <c:showBubbleSize val="0"/>
        </c:dLbls>
        <c:marker val="1"/>
        <c:smooth val="0"/>
        <c:axId val="462035320"/>
        <c:axId val="462040024"/>
      </c:lineChart>
      <c:catAx>
        <c:axId val="462035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040024"/>
        <c:crosses val="autoZero"/>
        <c:auto val="1"/>
        <c:lblAlgn val="ctr"/>
        <c:lblOffset val="100"/>
        <c:noMultiLvlLbl val="0"/>
      </c:catAx>
      <c:valAx>
        <c:axId val="462040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Level</a:t>
                </a:r>
                <a:r>
                  <a:rPr lang="en-US" baseline="0"/>
                  <a:t> of NPLs Ratio</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035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92243480700769"/>
          <c:y val="9.1954022988505746E-2"/>
          <c:w val="0.84259263805832729"/>
          <c:h val="0.6336146257579871"/>
        </c:manualLayout>
      </c:layout>
      <c:lineChart>
        <c:grouping val="standard"/>
        <c:varyColors val="0"/>
        <c:ser>
          <c:idx val="0"/>
          <c:order val="0"/>
          <c:tx>
            <c:strRef>
              <c:f>Sheet1!$B$1</c:f>
              <c:strCache>
                <c:ptCount val="1"/>
                <c:pt idx="0">
                  <c:v>Gold US$/oz</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Sheet1!$B$2:$B$15</c:f>
            </c:numRef>
          </c:val>
          <c:smooth val="0"/>
          <c:extLst>
            <c:ext xmlns:c16="http://schemas.microsoft.com/office/drawing/2014/chart" uri="{C3380CC4-5D6E-409C-BE32-E72D297353CC}">
              <c16:uniqueId val="{00000000-29DA-4411-A456-199D3CAB2002}"/>
            </c:ext>
          </c:extLst>
        </c:ser>
        <c:ser>
          <c:idx val="1"/>
          <c:order val="1"/>
          <c:tx>
            <c:strRef>
              <c:f>Sheet1!$C$1</c:f>
              <c:strCache>
                <c:ptCount val="1"/>
                <c:pt idx="0">
                  <c:v>Platinum US$/oz</c:v>
                </c:pt>
              </c:strCache>
            </c:strRef>
          </c:tx>
          <c:spPr>
            <a:ln w="28575" cap="rnd">
              <a:solidFill>
                <a:srgbClr val="70AD47"/>
              </a:solidFill>
              <a:round/>
            </a:ln>
            <a:effectLst/>
          </c:spPr>
          <c:marker>
            <c:symbol val="circle"/>
            <c:size val="5"/>
            <c:spPr>
              <a:solidFill>
                <a:schemeClr val="accent2"/>
              </a:solidFill>
              <a:ln w="9525">
                <a:solidFill>
                  <a:srgbClr val="70AD47"/>
                </a:solidFill>
              </a:ln>
              <a:effectLst/>
            </c:spPr>
          </c:marker>
          <c:trendline>
            <c:spPr>
              <a:ln w="19050" cap="rnd">
                <a:solidFill>
                  <a:srgbClr val="70AD47"/>
                </a:solidFill>
                <a:prstDash val="sysDash"/>
              </a:ln>
              <a:effectLst/>
            </c:spPr>
            <c:trendlineType val="linear"/>
            <c:dispRSqr val="0"/>
            <c:dispEq val="0"/>
          </c:trendline>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Sheet1!$C$2:$C$15</c:f>
              <c:numCache>
                <c:formatCode>General</c:formatCode>
                <c:ptCount val="14"/>
                <c:pt idx="0">
                  <c:v>985.5</c:v>
                </c:pt>
                <c:pt idx="1">
                  <c:v>971</c:v>
                </c:pt>
                <c:pt idx="2">
                  <c:v>1016</c:v>
                </c:pt>
                <c:pt idx="3">
                  <c:v>1013</c:v>
                </c:pt>
                <c:pt idx="4">
                  <c:v>966.5</c:v>
                </c:pt>
                <c:pt idx="5">
                  <c:v>970</c:v>
                </c:pt>
                <c:pt idx="6">
                  <c:v>972</c:v>
                </c:pt>
                <c:pt idx="7">
                  <c:v>973</c:v>
                </c:pt>
                <c:pt idx="8">
                  <c:v>875.5</c:v>
                </c:pt>
                <c:pt idx="9">
                  <c:v>883</c:v>
                </c:pt>
                <c:pt idx="10">
                  <c:v>791.5</c:v>
                </c:pt>
                <c:pt idx="11">
                  <c:v>723.5</c:v>
                </c:pt>
                <c:pt idx="12">
                  <c:v>714</c:v>
                </c:pt>
                <c:pt idx="13">
                  <c:v>716.5</c:v>
                </c:pt>
              </c:numCache>
            </c:numRef>
          </c:val>
          <c:smooth val="0"/>
          <c:extLst>
            <c:ext xmlns:c16="http://schemas.microsoft.com/office/drawing/2014/chart" uri="{C3380CC4-5D6E-409C-BE32-E72D297353CC}">
              <c16:uniqueId val="{00000002-29DA-4411-A456-199D3CAB2002}"/>
            </c:ext>
          </c:extLst>
        </c:ser>
        <c:dLbls>
          <c:showLegendKey val="0"/>
          <c:showVal val="0"/>
          <c:showCatName val="0"/>
          <c:showSerName val="0"/>
          <c:showPercent val="0"/>
          <c:showBubbleSize val="0"/>
        </c:dLbls>
        <c:marker val="1"/>
        <c:smooth val="0"/>
        <c:axId val="344972000"/>
        <c:axId val="344976704"/>
      </c:lineChart>
      <c:dateAx>
        <c:axId val="344972000"/>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76704"/>
        <c:crosses val="autoZero"/>
        <c:auto val="1"/>
        <c:lblOffset val="100"/>
        <c:baseTimeUnit val="days"/>
      </c:dateAx>
      <c:valAx>
        <c:axId val="344976704"/>
        <c:scaling>
          <c:orientation val="minMax"/>
          <c:min val="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a:t>US$/oz</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7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27563424716195"/>
          <c:y val="9.6740273396424811E-2"/>
          <c:w val="0.86337909759060361"/>
          <c:h val="0.66061485216556137"/>
        </c:manualLayout>
      </c:layout>
      <c:lineChart>
        <c:grouping val="standard"/>
        <c:varyColors val="0"/>
        <c:ser>
          <c:idx val="0"/>
          <c:order val="0"/>
          <c:tx>
            <c:strRef>
              <c:f>Sheet1!$B$1</c:f>
              <c:strCache>
                <c:ptCount val="1"/>
                <c:pt idx="0">
                  <c:v>Gold US$/oz</c:v>
                </c:pt>
              </c:strCache>
            </c:strRef>
          </c:tx>
          <c:spPr>
            <a:ln w="31750" cap="rnd">
              <a:solidFill>
                <a:schemeClr val="accent1"/>
              </a:solidFill>
              <a:round/>
            </a:ln>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Sheet1!$B$2:$B$15</c:f>
            </c:numRef>
          </c:val>
          <c:smooth val="0"/>
          <c:extLst>
            <c:ext xmlns:c16="http://schemas.microsoft.com/office/drawing/2014/chart" uri="{C3380CC4-5D6E-409C-BE32-E72D297353CC}">
              <c16:uniqueId val="{00000000-DE8A-4FC8-B7F6-A01587DFFE59}"/>
            </c:ext>
          </c:extLst>
        </c:ser>
        <c:ser>
          <c:idx val="1"/>
          <c:order val="1"/>
          <c:tx>
            <c:strRef>
              <c:f>Sheet1!$C$1</c:f>
              <c:strCache>
                <c:ptCount val="1"/>
                <c:pt idx="0">
                  <c:v>Platinum US$/oz</c:v>
                </c:pt>
              </c:strCache>
            </c:strRef>
          </c:tx>
          <c:spPr>
            <a:ln w="31750" cap="rnd">
              <a:solidFill>
                <a:schemeClr val="accent3"/>
              </a:solidFill>
              <a:round/>
            </a:ln>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700">
                <a:solidFill>
                  <a:schemeClr val="lt2"/>
                </a:solidFill>
                <a:round/>
              </a:ln>
              <a:effectLst/>
            </c:spPr>
          </c:marker>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Sheet1!$C$2:$C$15</c:f>
            </c:numRef>
          </c:val>
          <c:smooth val="0"/>
          <c:extLst>
            <c:ext xmlns:c16="http://schemas.microsoft.com/office/drawing/2014/chart" uri="{C3380CC4-5D6E-409C-BE32-E72D297353CC}">
              <c16:uniqueId val="{00000001-DE8A-4FC8-B7F6-A01587DFFE59}"/>
            </c:ext>
          </c:extLst>
        </c:ser>
        <c:ser>
          <c:idx val="2"/>
          <c:order val="2"/>
          <c:tx>
            <c:strRef>
              <c:f>Sheet1!$D$1</c:f>
              <c:strCache>
                <c:ptCount val="1"/>
                <c:pt idx="0">
                  <c:v>Silver US$/oz</c:v>
                </c:pt>
              </c:strCache>
            </c:strRef>
          </c:tx>
          <c:spPr>
            <a:ln w="31750" cap="rnd">
              <a:solidFill>
                <a:srgbClr val="70AD47"/>
              </a:solidFill>
              <a:round/>
            </a:ln>
            <a:effectLst/>
          </c:spPr>
          <c:marker>
            <c:symbol val="none"/>
          </c:marker>
          <c:trendline>
            <c:spPr>
              <a:ln w="19050" cap="rnd">
                <a:solidFill>
                  <a:srgbClr val="70AD47"/>
                </a:solidFill>
                <a:prstDash val="sysDash"/>
              </a:ln>
              <a:effectLst/>
            </c:spPr>
            <c:trendlineType val="linear"/>
            <c:dispRSqr val="0"/>
            <c:dispEq val="0"/>
          </c:trendline>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Sheet1!$D$2:$D$15</c:f>
              <c:numCache>
                <c:formatCode>General</c:formatCode>
                <c:ptCount val="14"/>
                <c:pt idx="0">
                  <c:v>18.21</c:v>
                </c:pt>
                <c:pt idx="1">
                  <c:v>17.914999999999999</c:v>
                </c:pt>
                <c:pt idx="2">
                  <c:v>18.059999999999999</c:v>
                </c:pt>
                <c:pt idx="3">
                  <c:v>17.829999999999998</c:v>
                </c:pt>
                <c:pt idx="4">
                  <c:v>17.885000000000002</c:v>
                </c:pt>
                <c:pt idx="5">
                  <c:v>17.77</c:v>
                </c:pt>
                <c:pt idx="6">
                  <c:v>17.704999999999998</c:v>
                </c:pt>
                <c:pt idx="7">
                  <c:v>18.559999999999999</c:v>
                </c:pt>
                <c:pt idx="8">
                  <c:v>17.184999999999999</c:v>
                </c:pt>
                <c:pt idx="9">
                  <c:v>17.48</c:v>
                </c:pt>
                <c:pt idx="10">
                  <c:v>15.77</c:v>
                </c:pt>
                <c:pt idx="11">
                  <c:v>14.055</c:v>
                </c:pt>
                <c:pt idx="12">
                  <c:v>14.015000000000001</c:v>
                </c:pt>
                <c:pt idx="13">
                  <c:v>14.39</c:v>
                </c:pt>
              </c:numCache>
            </c:numRef>
          </c:val>
          <c:smooth val="0"/>
          <c:extLst>
            <c:ext xmlns:c16="http://schemas.microsoft.com/office/drawing/2014/chart" uri="{C3380CC4-5D6E-409C-BE32-E72D297353CC}">
              <c16:uniqueId val="{00000003-DE8A-4FC8-B7F6-A01587DFFE59}"/>
            </c:ext>
          </c:extLst>
        </c:ser>
        <c:dLbls>
          <c:showLegendKey val="0"/>
          <c:showVal val="0"/>
          <c:showCatName val="0"/>
          <c:showSerName val="0"/>
          <c:showPercent val="0"/>
          <c:showBubbleSize val="0"/>
        </c:dLbls>
        <c:smooth val="0"/>
        <c:axId val="341645216"/>
        <c:axId val="341646000"/>
      </c:lineChart>
      <c:dateAx>
        <c:axId val="341645216"/>
        <c:scaling>
          <c:orientation val="minMax"/>
        </c:scaling>
        <c:delete val="0"/>
        <c:axPos val="b"/>
        <c:numFmt formatCode="d\-mmm\-yy"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1646000"/>
        <c:crosses val="autoZero"/>
        <c:auto val="1"/>
        <c:lblOffset val="100"/>
        <c:baseTimeUnit val="days"/>
      </c:dateAx>
      <c:valAx>
        <c:axId val="341646000"/>
        <c:scaling>
          <c:orientation val="minMax"/>
          <c:min val="1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sz="1000"/>
                  <a:t>US$/oz</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1645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10813294802795"/>
          <c:y val="9.0534979423868317E-2"/>
          <c:w val="0.83107752945023283"/>
          <c:h val="0.62679498396033828"/>
        </c:manualLayout>
      </c:layout>
      <c:lineChart>
        <c:grouping val="standard"/>
        <c:varyColors val="0"/>
        <c:ser>
          <c:idx val="0"/>
          <c:order val="0"/>
          <c:tx>
            <c:strRef>
              <c:f>Sheet1!$B$1</c:f>
              <c:strCache>
                <c:ptCount val="1"/>
                <c:pt idx="0">
                  <c:v>Gold US$/oz</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Sheet1!$B$2:$B$15</c:f>
            </c:numRef>
          </c:val>
          <c:smooth val="0"/>
          <c:extLst>
            <c:ext xmlns:c16="http://schemas.microsoft.com/office/drawing/2014/chart" uri="{C3380CC4-5D6E-409C-BE32-E72D297353CC}">
              <c16:uniqueId val="{00000000-8562-4FD1-9860-91AF9866DBB5}"/>
            </c:ext>
          </c:extLst>
        </c:ser>
        <c:ser>
          <c:idx val="1"/>
          <c:order val="1"/>
          <c:tx>
            <c:strRef>
              <c:f>Sheet1!$C$1</c:f>
              <c:strCache>
                <c:ptCount val="1"/>
                <c:pt idx="0">
                  <c:v>Platinum US$/oz</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Sheet1!$C$2:$C$15</c:f>
            </c:numRef>
          </c:val>
          <c:smooth val="0"/>
          <c:extLst>
            <c:ext xmlns:c16="http://schemas.microsoft.com/office/drawing/2014/chart" uri="{C3380CC4-5D6E-409C-BE32-E72D297353CC}">
              <c16:uniqueId val="{00000001-8562-4FD1-9860-91AF9866DBB5}"/>
            </c:ext>
          </c:extLst>
        </c:ser>
        <c:ser>
          <c:idx val="2"/>
          <c:order val="2"/>
          <c:tx>
            <c:strRef>
              <c:f>Sheet1!$D$1</c:f>
              <c:strCache>
                <c:ptCount val="1"/>
                <c:pt idx="0">
                  <c:v>Silver US$/oz</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Sheet1!$D$2:$D$15</c:f>
            </c:numRef>
          </c:val>
          <c:smooth val="0"/>
          <c:extLst>
            <c:ext xmlns:c16="http://schemas.microsoft.com/office/drawing/2014/chart" uri="{C3380CC4-5D6E-409C-BE32-E72D297353CC}">
              <c16:uniqueId val="{00000002-8562-4FD1-9860-91AF9866DBB5}"/>
            </c:ext>
          </c:extLst>
        </c:ser>
        <c:ser>
          <c:idx val="3"/>
          <c:order val="3"/>
          <c:tx>
            <c:strRef>
              <c:f>Sheet1!$E$1</c:f>
              <c:strCache>
                <c:ptCount val="1"/>
                <c:pt idx="0">
                  <c:v>Palladium US$/oz</c:v>
                </c:pt>
              </c:strCache>
            </c:strRef>
          </c:tx>
          <c:spPr>
            <a:ln w="22225" cap="rnd">
              <a:solidFill>
                <a:schemeClr val="accent4"/>
              </a:solidFill>
              <a:round/>
            </a:ln>
            <a:effectLst/>
          </c:spPr>
          <c:marker>
            <c:symbol val="circle"/>
            <c:size val="6"/>
            <c:spPr>
              <a:solidFill>
                <a:schemeClr val="lt1"/>
              </a:solidFill>
              <a:ln w="15875">
                <a:solidFill>
                  <a:schemeClr val="accent4"/>
                </a:solidFill>
                <a:round/>
              </a:ln>
              <a:effectLst/>
            </c:spPr>
          </c:marker>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Sheet1!$E$2:$E$15</c:f>
            </c:numRef>
          </c:val>
          <c:smooth val="0"/>
          <c:extLst>
            <c:ext xmlns:c16="http://schemas.microsoft.com/office/drawing/2014/chart" uri="{C3380CC4-5D6E-409C-BE32-E72D297353CC}">
              <c16:uniqueId val="{00000003-8562-4FD1-9860-91AF9866DBB5}"/>
            </c:ext>
          </c:extLst>
        </c:ser>
        <c:ser>
          <c:idx val="4"/>
          <c:order val="4"/>
          <c:tx>
            <c:strRef>
              <c:f>Sheet1!$F$1</c:f>
              <c:strCache>
                <c:ptCount val="1"/>
                <c:pt idx="0">
                  <c:v>Copper US$/tonne</c:v>
                </c:pt>
              </c:strCache>
            </c:strRef>
          </c:tx>
          <c:spPr>
            <a:ln w="22225" cap="rnd">
              <a:solidFill>
                <a:schemeClr val="accent5"/>
              </a:solidFill>
              <a:round/>
            </a:ln>
            <a:effectLst/>
          </c:spPr>
          <c:marker>
            <c:symbol val="circle"/>
            <c:size val="6"/>
            <c:spPr>
              <a:solidFill>
                <a:schemeClr val="lt1"/>
              </a:solidFill>
              <a:ln w="15875">
                <a:solidFill>
                  <a:schemeClr val="accent5"/>
                </a:solidFill>
                <a:round/>
              </a:ln>
              <a:effectLst/>
            </c:spPr>
          </c:marker>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Sheet1!$F$2:$F$15</c:f>
            </c:numRef>
          </c:val>
          <c:smooth val="0"/>
          <c:extLst>
            <c:ext xmlns:c16="http://schemas.microsoft.com/office/drawing/2014/chart" uri="{C3380CC4-5D6E-409C-BE32-E72D297353CC}">
              <c16:uniqueId val="{00000004-8562-4FD1-9860-91AF9866DBB5}"/>
            </c:ext>
          </c:extLst>
        </c:ser>
        <c:ser>
          <c:idx val="5"/>
          <c:order val="5"/>
          <c:tx>
            <c:strRef>
              <c:f>Sheet1!$G$1</c:f>
              <c:strCache>
                <c:ptCount val="1"/>
                <c:pt idx="0">
                  <c:v>Nickel US$/tonne</c:v>
                </c:pt>
              </c:strCache>
            </c:strRef>
          </c:tx>
          <c:spPr>
            <a:ln w="22225" cap="rnd">
              <a:solidFill>
                <a:schemeClr val="accent6"/>
              </a:solidFill>
              <a:round/>
            </a:ln>
            <a:effectLst/>
          </c:spPr>
          <c:marker>
            <c:symbol val="none"/>
          </c:marker>
          <c:trendline>
            <c:spPr>
              <a:ln w="19050" cap="rnd">
                <a:solidFill>
                  <a:schemeClr val="accent6"/>
                </a:solidFill>
                <a:prstDash val="sysDash"/>
              </a:ln>
              <a:effectLst/>
            </c:spPr>
            <c:trendlineType val="linear"/>
            <c:dispRSqr val="0"/>
            <c:dispEq val="0"/>
          </c:trendline>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Sheet1!$G$2:$G$15</c:f>
              <c:numCache>
                <c:formatCode>General</c:formatCode>
                <c:ptCount val="14"/>
                <c:pt idx="0">
                  <c:v>13688</c:v>
                </c:pt>
                <c:pt idx="1">
                  <c:v>14146</c:v>
                </c:pt>
                <c:pt idx="2">
                  <c:v>13851</c:v>
                </c:pt>
                <c:pt idx="3">
                  <c:v>12882</c:v>
                </c:pt>
                <c:pt idx="4">
                  <c:v>12696.5</c:v>
                </c:pt>
                <c:pt idx="5">
                  <c:v>12737</c:v>
                </c:pt>
                <c:pt idx="6">
                  <c:v>12958</c:v>
                </c:pt>
                <c:pt idx="7">
                  <c:v>12475</c:v>
                </c:pt>
                <c:pt idx="8">
                  <c:v>12147</c:v>
                </c:pt>
                <c:pt idx="9">
                  <c:v>12776</c:v>
                </c:pt>
                <c:pt idx="10">
                  <c:v>12246</c:v>
                </c:pt>
                <c:pt idx="11">
                  <c:v>11280</c:v>
                </c:pt>
                <c:pt idx="12">
                  <c:v>11184.5</c:v>
                </c:pt>
                <c:pt idx="13">
                  <c:v>11131.69</c:v>
                </c:pt>
              </c:numCache>
            </c:numRef>
          </c:val>
          <c:smooth val="0"/>
          <c:extLst>
            <c:ext xmlns:c16="http://schemas.microsoft.com/office/drawing/2014/chart" uri="{C3380CC4-5D6E-409C-BE32-E72D297353CC}">
              <c16:uniqueId val="{00000005-8562-4FD1-9860-91AF9866DBB5}"/>
            </c:ext>
          </c:extLst>
        </c:ser>
        <c:dLbls>
          <c:showLegendKey val="0"/>
          <c:showVal val="0"/>
          <c:showCatName val="0"/>
          <c:showSerName val="0"/>
          <c:showPercent val="0"/>
          <c:showBubbleSize val="0"/>
        </c:dLbls>
        <c:smooth val="0"/>
        <c:axId val="460647600"/>
        <c:axId val="460649952"/>
      </c:lineChart>
      <c:dateAx>
        <c:axId val="460647600"/>
        <c:scaling>
          <c:orientation val="minMax"/>
        </c:scaling>
        <c:delete val="0"/>
        <c:axPos val="b"/>
        <c:numFmt formatCode="d\-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60649952"/>
        <c:crosses val="autoZero"/>
        <c:auto val="1"/>
        <c:lblOffset val="100"/>
        <c:baseTimeUnit val="days"/>
      </c:dateAx>
      <c:valAx>
        <c:axId val="460649952"/>
        <c:scaling>
          <c:orientation val="minMax"/>
          <c:min val="9000"/>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r>
                  <a:rPr lang="en-US" sz="1000"/>
                  <a:t>US$/tonne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60647600"/>
        <c:crosses val="autoZero"/>
        <c:crossBetween val="between"/>
      </c:valAx>
      <c:spPr>
        <a:pattFill prst="ltDnDiag">
          <a:fgClr>
            <a:schemeClr val="dk1">
              <a:lumMod val="15000"/>
              <a:lumOff val="85000"/>
            </a:schemeClr>
          </a:fgClr>
          <a:bgClr>
            <a:schemeClr val="lt1"/>
          </a:bgClr>
        </a:pattFill>
        <a:ln w="38100">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6066198738732"/>
          <c:y val="8.1143314532491947E-2"/>
          <c:w val="0.78975291267324632"/>
          <c:h val="0.79378864875933064"/>
        </c:manualLayout>
      </c:layout>
      <c:lineChart>
        <c:grouping val="standard"/>
        <c:varyColors val="0"/>
        <c:ser>
          <c:idx val="0"/>
          <c:order val="0"/>
          <c:tx>
            <c:strRef>
              <c:f>Sheet1!$B$1</c:f>
              <c:strCache>
                <c:ptCount val="1"/>
                <c:pt idx="0">
                  <c:v>US$/Metric Tonne</c:v>
                </c:pt>
              </c:strCache>
            </c:strRef>
          </c:tx>
          <c:spPr>
            <a:ln w="2222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Sheet1!$A$2:$A$4</c:f>
              <c:numCache>
                <c:formatCode>mmm\-yy</c:formatCode>
                <c:ptCount val="3"/>
                <c:pt idx="0">
                  <c:v>43831</c:v>
                </c:pt>
                <c:pt idx="1">
                  <c:v>43862</c:v>
                </c:pt>
                <c:pt idx="2">
                  <c:v>43891</c:v>
                </c:pt>
              </c:numCache>
            </c:numRef>
          </c:cat>
          <c:val>
            <c:numRef>
              <c:f>Sheet1!$B$2:$B$4</c:f>
              <c:numCache>
                <c:formatCode>#,##0.00</c:formatCode>
                <c:ptCount val="3"/>
                <c:pt idx="0">
                  <c:v>4725.1899999999996</c:v>
                </c:pt>
                <c:pt idx="1">
                  <c:v>4712.87</c:v>
                </c:pt>
                <c:pt idx="2">
                  <c:v>4686.8500000000004</c:v>
                </c:pt>
              </c:numCache>
            </c:numRef>
          </c:val>
          <c:smooth val="0"/>
          <c:extLst>
            <c:ext xmlns:c16="http://schemas.microsoft.com/office/drawing/2014/chart" uri="{C3380CC4-5D6E-409C-BE32-E72D297353CC}">
              <c16:uniqueId val="{00000000-ECAD-4244-8252-0AF0DDA01279}"/>
            </c:ext>
          </c:extLst>
        </c:ser>
        <c:dLbls>
          <c:dLblPos val="t"/>
          <c:showLegendKey val="0"/>
          <c:showVal val="1"/>
          <c:showCatName val="0"/>
          <c:showSerName val="0"/>
          <c:showPercent val="0"/>
          <c:showBubbleSize val="0"/>
        </c:dLbls>
        <c:smooth val="0"/>
        <c:axId val="460646816"/>
        <c:axId val="462037280"/>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numRef>
                    <c:extLst>
                      <c:ext uri="{02D57815-91ED-43cb-92C2-25804820EDAC}">
                        <c15:formulaRef>
                          <c15:sqref>Sheet1!$A$2:$A$4</c15:sqref>
                        </c15:formulaRef>
                      </c:ext>
                    </c:extLst>
                    <c:numCache>
                      <c:formatCode>mmm\-yy</c:formatCode>
                      <c:ptCount val="3"/>
                      <c:pt idx="0">
                        <c:v>43831</c:v>
                      </c:pt>
                      <c:pt idx="1">
                        <c:v>43862</c:v>
                      </c:pt>
                      <c:pt idx="2">
                        <c:v>43891</c:v>
                      </c:pt>
                    </c:numCache>
                  </c:numRef>
                </c:cat>
                <c:val>
                  <c:numRef>
                    <c:extLst>
                      <c:ext uri="{02D57815-91ED-43cb-92C2-25804820EDAC}">
                        <c15:formulaRef>
                          <c15:sqref>Sheet1!$C$2:$C$4</c15:sqref>
                        </c15:formulaRef>
                      </c:ext>
                    </c:extLst>
                    <c:numCache>
                      <c:formatCode>General</c:formatCode>
                      <c:ptCount val="3"/>
                    </c:numCache>
                  </c:numRef>
                </c:val>
                <c:smooth val="0"/>
                <c:extLst>
                  <c:ext xmlns:c16="http://schemas.microsoft.com/office/drawing/2014/chart" uri="{C3380CC4-5D6E-409C-BE32-E72D297353CC}">
                    <c16:uniqueId val="{00000001-ECAD-4244-8252-0AF0DDA01279}"/>
                  </c:ext>
                </c:extLst>
              </c15:ser>
            </c15:filteredLineSeries>
          </c:ext>
        </c:extLst>
      </c:lineChart>
      <c:dateAx>
        <c:axId val="46064681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r>
                  <a:rPr lang="en-US" sz="1000"/>
                  <a:t>Month</a:t>
                </a:r>
              </a:p>
            </c:rich>
          </c:tx>
          <c:layout>
            <c:manualLayout>
              <c:xMode val="edge"/>
              <c:yMode val="edge"/>
              <c:x val="0.5740282152230971"/>
              <c:y val="0.6991433362496355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62037280"/>
        <c:crosses val="autoZero"/>
        <c:auto val="1"/>
        <c:lblOffset val="100"/>
        <c:baseTimeUnit val="months"/>
      </c:dateAx>
      <c:valAx>
        <c:axId val="462037280"/>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r>
                  <a:rPr lang="en-US" sz="1000"/>
                  <a:t>US$/Metric Tonne</a:t>
                </a:r>
              </a:p>
            </c:rich>
          </c:tx>
          <c:layout>
            <c:manualLayout>
              <c:xMode val="edge"/>
              <c:yMode val="edge"/>
              <c:x val="2.5653614565147687E-2"/>
              <c:y val="0.2181781459473699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6064681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27934811278739"/>
          <c:y val="0.11146838156484459"/>
          <c:w val="0.85581116199025364"/>
          <c:h val="0.68495700095365897"/>
        </c:manualLayout>
      </c:layout>
      <c:lineChart>
        <c:grouping val="standard"/>
        <c:varyColors val="0"/>
        <c:ser>
          <c:idx val="0"/>
          <c:order val="0"/>
          <c:tx>
            <c:strRef>
              <c:f>Sheet1!$B$1</c:f>
              <c:strCache>
                <c:ptCount val="1"/>
                <c:pt idx="0">
                  <c:v>Gold US$/oz</c:v>
                </c:pt>
              </c:strCache>
            </c:strRef>
          </c:tx>
          <c:spPr>
            <a:ln w="28575" cap="rnd">
              <a:solidFill>
                <a:schemeClr val="accent6"/>
              </a:solidFill>
              <a:round/>
            </a:ln>
            <a:effectLst/>
          </c:spPr>
          <c:marker>
            <c:symbol val="circle"/>
            <c:size val="5"/>
            <c:spPr>
              <a:solidFill>
                <a:schemeClr val="accent1"/>
              </a:solidFill>
              <a:ln w="9525">
                <a:solidFill>
                  <a:schemeClr val="accent6"/>
                </a:solidFill>
              </a:ln>
              <a:effectLst/>
            </c:spPr>
          </c:marker>
          <c:trendline>
            <c:spPr>
              <a:ln w="19050" cap="rnd">
                <a:solidFill>
                  <a:schemeClr val="accent6"/>
                </a:solidFill>
                <a:prstDash val="dash"/>
              </a:ln>
              <a:effectLst/>
            </c:spPr>
            <c:trendlineType val="linear"/>
            <c:dispRSqr val="0"/>
            <c:dispEq val="0"/>
          </c:trendline>
          <c:cat>
            <c:numRef>
              <c:f>Sheet1!$A$2:$A$15</c:f>
              <c:numCache>
                <c:formatCode>d\-mmm\-yy</c:formatCode>
                <c:ptCount val="14"/>
                <c:pt idx="0">
                  <c:v>43833</c:v>
                </c:pt>
                <c:pt idx="1">
                  <c:v>43840</c:v>
                </c:pt>
                <c:pt idx="2">
                  <c:v>43847</c:v>
                </c:pt>
                <c:pt idx="3">
                  <c:v>43854</c:v>
                </c:pt>
                <c:pt idx="4">
                  <c:v>43861</c:v>
                </c:pt>
                <c:pt idx="5">
                  <c:v>43868</c:v>
                </c:pt>
                <c:pt idx="6">
                  <c:v>43875</c:v>
                </c:pt>
                <c:pt idx="7">
                  <c:v>43882</c:v>
                </c:pt>
                <c:pt idx="8">
                  <c:v>43889</c:v>
                </c:pt>
                <c:pt idx="9">
                  <c:v>43896</c:v>
                </c:pt>
                <c:pt idx="10">
                  <c:v>43903</c:v>
                </c:pt>
                <c:pt idx="11">
                  <c:v>43920</c:v>
                </c:pt>
                <c:pt idx="12">
                  <c:v>43922</c:v>
                </c:pt>
                <c:pt idx="13">
                  <c:v>43924</c:v>
                </c:pt>
              </c:numCache>
            </c:numRef>
          </c:cat>
          <c:val>
            <c:numRef>
              <c:f>Sheet1!$B$2:$B$15</c:f>
              <c:numCache>
                <c:formatCode>General</c:formatCode>
                <c:ptCount val="14"/>
                <c:pt idx="0">
                  <c:v>1548.075</c:v>
                </c:pt>
                <c:pt idx="1">
                  <c:v>1551.1999999999998</c:v>
                </c:pt>
                <c:pt idx="2">
                  <c:v>1557.05</c:v>
                </c:pt>
                <c:pt idx="3">
                  <c:v>1563.0749999999998</c:v>
                </c:pt>
                <c:pt idx="4">
                  <c:v>1582.5250000000001</c:v>
                </c:pt>
                <c:pt idx="5">
                  <c:v>1570.4749999999999</c:v>
                </c:pt>
                <c:pt idx="6">
                  <c:v>1578.875</c:v>
                </c:pt>
                <c:pt idx="7">
                  <c:v>1638.5</c:v>
                </c:pt>
                <c:pt idx="8">
                  <c:v>1618.1</c:v>
                </c:pt>
                <c:pt idx="9">
                  <c:v>1685.325</c:v>
                </c:pt>
                <c:pt idx="10">
                  <c:v>1575.4749999999999</c:v>
                </c:pt>
                <c:pt idx="11">
                  <c:v>1621.375</c:v>
                </c:pt>
                <c:pt idx="12">
                  <c:v>1585.4</c:v>
                </c:pt>
                <c:pt idx="13">
                  <c:v>1611.425</c:v>
                </c:pt>
              </c:numCache>
            </c:numRef>
          </c:val>
          <c:smooth val="0"/>
          <c:extLst>
            <c:ext xmlns:c16="http://schemas.microsoft.com/office/drawing/2014/chart" uri="{C3380CC4-5D6E-409C-BE32-E72D297353CC}">
              <c16:uniqueId val="{00000001-92EC-4E0B-BA71-98EB3968EFAC}"/>
            </c:ext>
          </c:extLst>
        </c:ser>
        <c:dLbls>
          <c:showLegendKey val="0"/>
          <c:showVal val="0"/>
          <c:showCatName val="0"/>
          <c:showSerName val="0"/>
          <c:showPercent val="0"/>
          <c:showBubbleSize val="0"/>
        </c:dLbls>
        <c:marker val="1"/>
        <c:smooth val="0"/>
        <c:axId val="456881616"/>
        <c:axId val="344978272"/>
      </c:lineChart>
      <c:dateAx>
        <c:axId val="456881616"/>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78272"/>
        <c:crosses val="autoZero"/>
        <c:auto val="1"/>
        <c:lblOffset val="100"/>
        <c:baseTimeUnit val="days"/>
      </c:dateAx>
      <c:valAx>
        <c:axId val="344978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US$/oz</a:t>
                </a:r>
              </a:p>
            </c:rich>
          </c:tx>
          <c:layout>
            <c:manualLayout>
              <c:xMode val="edge"/>
              <c:yMode val="edge"/>
              <c:x val="8.5895523356120853E-3"/>
              <c:y val="0.2845944417719488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88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000"/>
              <a:t>Imports Source Countries(Avg 2009-2019)</a:t>
            </a:r>
          </a:p>
        </c:rich>
      </c:tx>
      <c:layout>
        <c:manualLayout>
          <c:xMode val="edge"/>
          <c:yMode val="edge"/>
          <c:x val="0.3166782006920415"/>
          <c:y val="4.4150110375275938E-3"/>
        </c:manualLayout>
      </c:layout>
      <c:overlay val="0"/>
      <c:spPr>
        <a:noFill/>
        <a:ln>
          <a:noFill/>
        </a:ln>
        <a:effectLst/>
      </c:spPr>
      <c:txPr>
        <a:bodyPr rot="0" spcFirstLastPara="1" vertOverflow="ellipsis" vert="horz" wrap="square" anchor="ctr" anchorCtr="1"/>
        <a:lstStyle/>
        <a:p>
          <a:pPr>
            <a:defRPr sz="10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n-US"/>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172279203106992"/>
          <c:y val="0.2296900613055137"/>
          <c:w val="0.82760155845571226"/>
          <c:h val="0.73728250856060207"/>
        </c:manualLayout>
      </c:layout>
      <c:pie3DChart>
        <c:varyColors val="1"/>
        <c:ser>
          <c:idx val="0"/>
          <c:order val="0"/>
          <c:tx>
            <c:strRef>
              <c:f>'Avg Imports 2009-2019'!$C$7</c:f>
              <c:strCache>
                <c:ptCount val="1"/>
                <c:pt idx="0">
                  <c:v>Annual Imports (Avg 2009-2019)</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457E-4864-B7C3-D5353E3FFB28}"/>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457E-4864-B7C3-D5353E3FFB28}"/>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457E-4864-B7C3-D5353E3FFB28}"/>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457E-4864-B7C3-D5353E3FFB28}"/>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457E-4864-B7C3-D5353E3FFB28}"/>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457E-4864-B7C3-D5353E3FFB28}"/>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D-457E-4864-B7C3-D5353E3FFB28}"/>
              </c:ext>
            </c:extLst>
          </c:dPt>
          <c:dLbls>
            <c:dLbl>
              <c:idx val="0"/>
              <c:layout>
                <c:manualLayout>
                  <c:x val="-2.9480595861972104E-3"/>
                  <c:y val="0.3094666812481773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7E-4864-B7C3-D5353E3FFB28}"/>
                </c:ext>
              </c:extLst>
            </c:dLbl>
            <c:dLbl>
              <c:idx val="1"/>
              <c:layout>
                <c:manualLayout>
                  <c:x val="4.3556913245376097E-2"/>
                  <c:y val="9.1939340915718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57E-4864-B7C3-D5353E3FFB28}"/>
                </c:ext>
              </c:extLst>
            </c:dLbl>
            <c:dLbl>
              <c:idx val="2"/>
              <c:layout>
                <c:manualLayout>
                  <c:x val="-4.5102221754053321E-3"/>
                  <c:y val="3.82822980460775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57E-4864-B7C3-D5353E3FFB28}"/>
                </c:ext>
              </c:extLst>
            </c:dLbl>
            <c:dLbl>
              <c:idx val="3"/>
              <c:layout>
                <c:manualLayout>
                  <c:x val="-1.4253987482333939E-2"/>
                  <c:y val="-6.280256634587343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57E-4864-B7C3-D5353E3FFB28}"/>
                </c:ext>
              </c:extLst>
            </c:dLbl>
            <c:dLbl>
              <c:idx val="4"/>
              <c:layout>
                <c:manualLayout>
                  <c:x val="2.9756581430665643E-2"/>
                  <c:y val="-0.1385954359871682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57E-4864-B7C3-D5353E3FFB28}"/>
                </c:ext>
              </c:extLst>
            </c:dLbl>
            <c:dLbl>
              <c:idx val="5"/>
              <c:layout>
                <c:manualLayout>
                  <c:x val="0.15248624022331655"/>
                  <c:y val="-0.1341571886847477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57E-4864-B7C3-D5353E3FFB28}"/>
                </c:ext>
              </c:extLst>
            </c:dLbl>
            <c:dLbl>
              <c:idx val="6"/>
              <c:layout>
                <c:manualLayout>
                  <c:x val="0.11350310308201433"/>
                  <c:y val="-7.081802274715660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57E-4864-B7C3-D5353E3FFB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'Avg Imports 2009-2019'!$B$8:$B$14</c:f>
              <c:strCache>
                <c:ptCount val="7"/>
                <c:pt idx="0">
                  <c:v>S. Africa</c:v>
                </c:pt>
                <c:pt idx="1">
                  <c:v>Zambia</c:v>
                </c:pt>
                <c:pt idx="2">
                  <c:v>UAE</c:v>
                </c:pt>
                <c:pt idx="3">
                  <c:v>China</c:v>
                </c:pt>
                <c:pt idx="4">
                  <c:v>Botswana</c:v>
                </c:pt>
                <c:pt idx="5">
                  <c:v>Malawi</c:v>
                </c:pt>
                <c:pt idx="6">
                  <c:v>Other</c:v>
                </c:pt>
              </c:strCache>
            </c:strRef>
          </c:cat>
          <c:val>
            <c:numRef>
              <c:f>'Avg Imports 2009-2019'!$C$8:$C$14</c:f>
              <c:numCache>
                <c:formatCode>#,##0.00</c:formatCode>
                <c:ptCount val="7"/>
                <c:pt idx="0">
                  <c:v>2228.1384837272726</c:v>
                </c:pt>
                <c:pt idx="1">
                  <c:v>1022.6918263636362</c:v>
                </c:pt>
                <c:pt idx="2">
                  <c:v>161.59407581818184</c:v>
                </c:pt>
                <c:pt idx="3">
                  <c:v>164.26</c:v>
                </c:pt>
                <c:pt idx="4">
                  <c:v>110.72050663636364</c:v>
                </c:pt>
                <c:pt idx="5">
                  <c:v>105.1682499090909</c:v>
                </c:pt>
                <c:pt idx="6">
                  <c:v>638.27</c:v>
                </c:pt>
              </c:numCache>
            </c:numRef>
          </c:val>
          <c:extLst>
            <c:ext xmlns:c16="http://schemas.microsoft.com/office/drawing/2014/chart" uri="{C3380CC4-5D6E-409C-BE32-E72D297353CC}">
              <c16:uniqueId val="{0000000E-457E-4864-B7C3-D5353E3FFB28}"/>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ZW" sz="900">
                <a:latin typeface="Times New Roman" panose="02020603050405020304" pitchFamily="18" charset="0"/>
                <a:cs typeface="Times New Roman" panose="02020603050405020304" pitchFamily="18" charset="0"/>
              </a:rPr>
              <a:t>Type of Imports (2004-2015)</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368656677112687"/>
          <c:y val="0.14606517145645603"/>
          <c:w val="0.77726103635038934"/>
          <c:h val="0.52323223135014263"/>
        </c:manualLayout>
      </c:layout>
      <c:areaChart>
        <c:grouping val="percentStacked"/>
        <c:varyColors val="0"/>
        <c:ser>
          <c:idx val="0"/>
          <c:order val="0"/>
          <c:tx>
            <c:strRef>
              <c:f>'[Chart in Microsoft Word]CONCENTRATION'!$A$61</c:f>
              <c:strCache>
                <c:ptCount val="1"/>
                <c:pt idx="0">
                  <c:v>Capital goods</c:v>
                </c:pt>
              </c:strCache>
            </c:strRef>
          </c:tx>
          <c:spPr>
            <a:solidFill>
              <a:schemeClr val="accent1">
                <a:alpha val="85000"/>
              </a:schemeClr>
            </a:solidFill>
            <a:ln>
              <a:noFill/>
            </a:ln>
            <a:effectLst>
              <a:innerShdw dist="12700" dir="16200000">
                <a:schemeClr val="lt1"/>
              </a:innerShdw>
            </a:effectLst>
          </c:spPr>
          <c:cat>
            <c:numRef>
              <c:f>'[Chart in Microsoft Word]CONCENTRATION'!$B$60:$M$60</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'[Chart in Microsoft Word]CONCENTRATION'!$B$61:$M$61</c:f>
              <c:numCache>
                <c:formatCode>General</c:formatCode>
                <c:ptCount val="12"/>
                <c:pt idx="0">
                  <c:v>507.47</c:v>
                </c:pt>
                <c:pt idx="1">
                  <c:v>277.68</c:v>
                </c:pt>
                <c:pt idx="2">
                  <c:v>504.39</c:v>
                </c:pt>
                <c:pt idx="3">
                  <c:v>953.74</c:v>
                </c:pt>
                <c:pt idx="4">
                  <c:v>786.75</c:v>
                </c:pt>
                <c:pt idx="5">
                  <c:v>927.15</c:v>
                </c:pt>
                <c:pt idx="6">
                  <c:v>1552.06</c:v>
                </c:pt>
                <c:pt idx="7">
                  <c:v>1543.14</c:v>
                </c:pt>
                <c:pt idx="8">
                  <c:v>1586.57</c:v>
                </c:pt>
                <c:pt idx="9">
                  <c:v>1541.36</c:v>
                </c:pt>
                <c:pt idx="10">
                  <c:v>1314.54</c:v>
                </c:pt>
                <c:pt idx="11">
                  <c:v>1286.1400000000001</c:v>
                </c:pt>
              </c:numCache>
            </c:numRef>
          </c:val>
          <c:extLst>
            <c:ext xmlns:c16="http://schemas.microsoft.com/office/drawing/2014/chart" uri="{C3380CC4-5D6E-409C-BE32-E72D297353CC}">
              <c16:uniqueId val="{00000000-9F62-47D8-AAF7-01E8F62F9B95}"/>
            </c:ext>
          </c:extLst>
        </c:ser>
        <c:ser>
          <c:idx val="1"/>
          <c:order val="1"/>
          <c:tx>
            <c:strRef>
              <c:f>'[Chart in Microsoft Word]CONCENTRATION'!$A$62</c:f>
              <c:strCache>
                <c:ptCount val="1"/>
                <c:pt idx="0">
                  <c:v>Consumer goods</c:v>
                </c:pt>
              </c:strCache>
            </c:strRef>
          </c:tx>
          <c:spPr>
            <a:solidFill>
              <a:schemeClr val="accent2">
                <a:alpha val="85000"/>
              </a:schemeClr>
            </a:solidFill>
            <a:ln>
              <a:noFill/>
            </a:ln>
            <a:effectLst>
              <a:innerShdw dist="12700" dir="16200000">
                <a:schemeClr val="lt1"/>
              </a:innerShdw>
            </a:effectLst>
          </c:spPr>
          <c:cat>
            <c:numRef>
              <c:f>'[Chart in Microsoft Word]CONCENTRATION'!$B$60:$M$60</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'[Chart in Microsoft Word]CONCENTRATION'!$B$62:$M$62</c:f>
              <c:numCache>
                <c:formatCode>General</c:formatCode>
                <c:ptCount val="12"/>
                <c:pt idx="0">
                  <c:v>690.69</c:v>
                </c:pt>
                <c:pt idx="1">
                  <c:v>387.13</c:v>
                </c:pt>
                <c:pt idx="2">
                  <c:v>1134.74</c:v>
                </c:pt>
                <c:pt idx="3">
                  <c:v>1154.1400000000001</c:v>
                </c:pt>
                <c:pt idx="4">
                  <c:v>904.66</c:v>
                </c:pt>
                <c:pt idx="5">
                  <c:v>1294.28</c:v>
                </c:pt>
                <c:pt idx="6">
                  <c:v>2493.9499999999998</c:v>
                </c:pt>
                <c:pt idx="7">
                  <c:v>3186.99</c:v>
                </c:pt>
                <c:pt idx="8">
                  <c:v>3652.73</c:v>
                </c:pt>
                <c:pt idx="9">
                  <c:v>3409.02</c:v>
                </c:pt>
                <c:pt idx="10">
                  <c:v>3230.4</c:v>
                </c:pt>
                <c:pt idx="11">
                  <c:v>3037.33</c:v>
                </c:pt>
              </c:numCache>
            </c:numRef>
          </c:val>
          <c:extLst>
            <c:ext xmlns:c16="http://schemas.microsoft.com/office/drawing/2014/chart" uri="{C3380CC4-5D6E-409C-BE32-E72D297353CC}">
              <c16:uniqueId val="{00000001-9F62-47D8-AAF7-01E8F62F9B95}"/>
            </c:ext>
          </c:extLst>
        </c:ser>
        <c:ser>
          <c:idx val="2"/>
          <c:order val="2"/>
          <c:tx>
            <c:strRef>
              <c:f>'[Chart in Microsoft Word]CONCENTRATION'!$A$63</c:f>
              <c:strCache>
                <c:ptCount val="1"/>
                <c:pt idx="0">
                  <c:v>Intermediate goods</c:v>
                </c:pt>
              </c:strCache>
            </c:strRef>
          </c:tx>
          <c:spPr>
            <a:solidFill>
              <a:schemeClr val="accent3">
                <a:alpha val="85000"/>
              </a:schemeClr>
            </a:solidFill>
            <a:ln>
              <a:noFill/>
            </a:ln>
            <a:effectLst>
              <a:innerShdw dist="12700" dir="16200000">
                <a:schemeClr val="lt1"/>
              </a:innerShdw>
            </a:effectLst>
          </c:spPr>
          <c:cat>
            <c:numRef>
              <c:f>'[Chart in Microsoft Word]CONCENTRATION'!$B$60:$M$60</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'[Chart in Microsoft Word]CONCENTRATION'!$B$63:$M$63</c:f>
              <c:numCache>
                <c:formatCode>General</c:formatCode>
                <c:ptCount val="12"/>
                <c:pt idx="0">
                  <c:v>646.07000000000005</c:v>
                </c:pt>
                <c:pt idx="1">
                  <c:v>993.37</c:v>
                </c:pt>
                <c:pt idx="2">
                  <c:v>698.62</c:v>
                </c:pt>
                <c:pt idx="3">
                  <c:v>762.3</c:v>
                </c:pt>
                <c:pt idx="4">
                  <c:v>786.11</c:v>
                </c:pt>
                <c:pt idx="5">
                  <c:v>901.25</c:v>
                </c:pt>
                <c:pt idx="6">
                  <c:v>1172.3900000000001</c:v>
                </c:pt>
                <c:pt idx="7">
                  <c:v>3296.71</c:v>
                </c:pt>
                <c:pt idx="8">
                  <c:v>1428.8</c:v>
                </c:pt>
                <c:pt idx="9">
                  <c:v>2260.3200000000002</c:v>
                </c:pt>
                <c:pt idx="10">
                  <c:v>1355.51</c:v>
                </c:pt>
                <c:pt idx="11">
                  <c:v>1168.29</c:v>
                </c:pt>
              </c:numCache>
            </c:numRef>
          </c:val>
          <c:extLst>
            <c:ext xmlns:c16="http://schemas.microsoft.com/office/drawing/2014/chart" uri="{C3380CC4-5D6E-409C-BE32-E72D297353CC}">
              <c16:uniqueId val="{00000002-9F62-47D8-AAF7-01E8F62F9B95}"/>
            </c:ext>
          </c:extLst>
        </c:ser>
        <c:ser>
          <c:idx val="3"/>
          <c:order val="3"/>
          <c:tx>
            <c:strRef>
              <c:f>'[Chart in Microsoft Word]CONCENTRATION'!$A$64</c:f>
              <c:strCache>
                <c:ptCount val="1"/>
                <c:pt idx="0">
                  <c:v>Raw materials</c:v>
                </c:pt>
              </c:strCache>
            </c:strRef>
          </c:tx>
          <c:spPr>
            <a:solidFill>
              <a:schemeClr val="accent4">
                <a:alpha val="85000"/>
              </a:schemeClr>
            </a:solidFill>
            <a:ln>
              <a:noFill/>
            </a:ln>
            <a:effectLst>
              <a:innerShdw dist="12700" dir="16200000">
                <a:schemeClr val="lt1"/>
              </a:innerShdw>
            </a:effectLst>
          </c:spPr>
          <c:cat>
            <c:numRef>
              <c:f>'[Chart in Microsoft Word]CONCENTRATION'!$B$60:$M$60</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'[Chart in Microsoft Word]CONCENTRATION'!$B$64:$M$64</c:f>
              <c:numCache>
                <c:formatCode>General</c:formatCode>
                <c:ptCount val="12"/>
                <c:pt idx="0">
                  <c:v>306.88</c:v>
                </c:pt>
                <c:pt idx="1">
                  <c:v>402.72</c:v>
                </c:pt>
                <c:pt idx="2">
                  <c:v>205.95</c:v>
                </c:pt>
                <c:pt idx="3">
                  <c:v>305.37</c:v>
                </c:pt>
                <c:pt idx="4">
                  <c:v>268.29000000000002</c:v>
                </c:pt>
                <c:pt idx="5">
                  <c:v>337.38</c:v>
                </c:pt>
                <c:pt idx="6">
                  <c:v>485.62</c:v>
                </c:pt>
                <c:pt idx="7">
                  <c:v>496.57</c:v>
                </c:pt>
                <c:pt idx="8">
                  <c:v>648.05999999999995</c:v>
                </c:pt>
                <c:pt idx="9">
                  <c:v>384.83</c:v>
                </c:pt>
                <c:pt idx="10">
                  <c:v>392.87</c:v>
                </c:pt>
                <c:pt idx="11">
                  <c:v>442.38</c:v>
                </c:pt>
              </c:numCache>
            </c:numRef>
          </c:val>
          <c:extLst>
            <c:ext xmlns:c16="http://schemas.microsoft.com/office/drawing/2014/chart" uri="{C3380CC4-5D6E-409C-BE32-E72D297353CC}">
              <c16:uniqueId val="{00000003-9F62-47D8-AAF7-01E8F62F9B95}"/>
            </c:ext>
          </c:extLst>
        </c:ser>
        <c:dLbls>
          <c:showLegendKey val="0"/>
          <c:showVal val="0"/>
          <c:showCatName val="0"/>
          <c:showSerName val="0"/>
          <c:showPercent val="0"/>
          <c:showBubbleSize val="0"/>
        </c:dLbls>
        <c:axId val="462038848"/>
        <c:axId val="462039632"/>
      </c:areaChart>
      <c:catAx>
        <c:axId val="462038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62039632"/>
        <c:crosses val="autoZero"/>
        <c:auto val="1"/>
        <c:lblAlgn val="ctr"/>
        <c:lblOffset val="100"/>
        <c:noMultiLvlLbl val="0"/>
      </c:catAx>
      <c:valAx>
        <c:axId val="46203963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ZW"/>
                  <a:t>% of Imports</a:t>
                </a:r>
              </a:p>
            </c:rich>
          </c:tx>
          <c:layout>
            <c:manualLayout>
              <c:xMode val="edge"/>
              <c:yMode val="edge"/>
              <c:x val="3.2886524635925515E-3"/>
              <c:y val="0.36371395813790425"/>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62038848"/>
        <c:crosses val="autoZero"/>
        <c:crossBetween val="midCat"/>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56-4650-B3D2-2BD875CA3B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56-4650-B3D2-2BD875CA3B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56-4650-B3D2-2BD875CA3B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556-4650-B3D2-2BD875CA3B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556-4650-B3D2-2BD875CA3B8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556-4650-B3D2-2BD875CA3B8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556-4650-B3D2-2BD875CA3B8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556-4650-B3D2-2BD875CA3B8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556-4650-B3D2-2BD875CA3B8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556-4650-B3D2-2BD875CA3B8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556-4650-B3D2-2BD875CA3B8D}"/>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9556-4650-B3D2-2BD875CA3B8D}"/>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9556-4650-B3D2-2BD875CA3B8D}"/>
              </c:ext>
            </c:extLst>
          </c:dPt>
          <c:dLbls>
            <c:dLbl>
              <c:idx val="0"/>
              <c:delete val="1"/>
              <c:extLst>
                <c:ext xmlns:c15="http://schemas.microsoft.com/office/drawing/2012/chart" uri="{CE6537A1-D6FC-4f65-9D91-7224C49458BB}"/>
                <c:ext xmlns:c16="http://schemas.microsoft.com/office/drawing/2014/chart" uri="{C3380CC4-5D6E-409C-BE32-E72D297353CC}">
                  <c16:uniqueId val="{00000001-9556-4650-B3D2-2BD875CA3B8D}"/>
                </c:ext>
              </c:extLst>
            </c:dLbl>
            <c:dLbl>
              <c:idx val="4"/>
              <c:layout>
                <c:manualLayout>
                  <c:x val="0.12253104180407763"/>
                  <c:y val="8.304494146820604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56-4650-B3D2-2BD875CA3B8D}"/>
                </c:ext>
              </c:extLst>
            </c:dLbl>
            <c:dLbl>
              <c:idx val="12"/>
              <c:layout>
                <c:manualLayout>
                  <c:x val="-0.17064090825856071"/>
                  <c:y val="-1.095005037717575E-2"/>
                </c:manualLayout>
              </c:layout>
              <c:tx>
                <c:rich>
                  <a:bodyPr rot="0" spcFirstLastPara="1" vertOverflow="ellipsis" vert="horz" wrap="square" lIns="38100" tIns="19050" rIns="38100" bIns="19050" anchor="ctr" anchorCtr="0">
                    <a:spAutoFit/>
                  </a:bodyPr>
                  <a:lstStyle/>
                  <a:p>
                    <a:pPr algn="ctr">
                      <a:defRPr sz="900" b="0" i="0" u="none" strike="noStrike" kern="1200" baseline="0">
                        <a:solidFill>
                          <a:schemeClr val="tx1">
                            <a:lumMod val="65000"/>
                            <a:lumOff val="35000"/>
                          </a:schemeClr>
                        </a:solidFill>
                        <a:latin typeface="+mn-lt"/>
                        <a:ea typeface="+mn-ea"/>
                        <a:cs typeface="+mn-cs"/>
                      </a:defRPr>
                    </a:pPr>
                    <a:r>
                      <a:rPr lang="en-US" baseline="0"/>
                      <a:t>Productive,82.50%</a:t>
                    </a:r>
                    <a:endParaRPr lang="en-US"/>
                  </a:p>
                </c:rich>
              </c:tx>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556-4650-B3D2-2BD875CA3B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Sheet1!$F$1:$F$12</c:f>
              <c:strCache>
                <c:ptCount val="12"/>
                <c:pt idx="1">
                  <c:v>Consumptive</c:v>
                </c:pt>
                <c:pt idx="2">
                  <c:v>Other</c:v>
                </c:pt>
                <c:pt idx="3">
                  <c:v>Commercial</c:v>
                </c:pt>
                <c:pt idx="4">
                  <c:v>Manufacturing</c:v>
                </c:pt>
                <c:pt idx="5">
                  <c:v>Agriculture</c:v>
                </c:pt>
                <c:pt idx="6">
                  <c:v>Mining</c:v>
                </c:pt>
                <c:pt idx="7">
                  <c:v>Distribution </c:v>
                </c:pt>
                <c:pt idx="8">
                  <c:v>Construction</c:v>
                </c:pt>
                <c:pt idx="9">
                  <c:v>Transport</c:v>
                </c:pt>
                <c:pt idx="10">
                  <c:v>Communication</c:v>
                </c:pt>
                <c:pt idx="11">
                  <c:v>Mortgage</c:v>
                </c:pt>
              </c:strCache>
            </c:strRef>
          </c:cat>
          <c:val>
            <c:numRef>
              <c:f>Sheet1!$G$1:$G$12</c:f>
              <c:numCache>
                <c:formatCode>0.00%</c:formatCode>
                <c:ptCount val="12"/>
                <c:pt idx="1">
                  <c:v>0.1368</c:v>
                </c:pt>
                <c:pt idx="2">
                  <c:v>3.8199999999999998E-2</c:v>
                </c:pt>
                <c:pt idx="3">
                  <c:v>5.8299999999999998E-2</c:v>
                </c:pt>
                <c:pt idx="4">
                  <c:v>0.11650000000000001</c:v>
                </c:pt>
                <c:pt idx="5">
                  <c:v>0.28889999999999999</c:v>
                </c:pt>
                <c:pt idx="6">
                  <c:v>5.1799999999999999E-2</c:v>
                </c:pt>
                <c:pt idx="7">
                  <c:v>0.1057</c:v>
                </c:pt>
                <c:pt idx="8">
                  <c:v>9.4999999999999998E-3</c:v>
                </c:pt>
                <c:pt idx="9">
                  <c:v>7.3000000000000001E-3</c:v>
                </c:pt>
                <c:pt idx="10">
                  <c:v>1.1999999999999999E-3</c:v>
                </c:pt>
                <c:pt idx="11">
                  <c:v>5.6500000000000002E-2</c:v>
                </c:pt>
              </c:numCache>
            </c:numRef>
          </c:val>
          <c:extLst>
            <c:ext xmlns:c16="http://schemas.microsoft.com/office/drawing/2014/chart" uri="{C3380CC4-5D6E-409C-BE32-E72D297353CC}">
              <c16:uniqueId val="{0000001A-9556-4650-B3D2-2BD875CA3B8D}"/>
            </c:ext>
          </c:extLst>
        </c:ser>
        <c:dLbls>
          <c:dLblPos val="bestFit"/>
          <c:showLegendKey val="0"/>
          <c:showVal val="1"/>
          <c:showCatName val="0"/>
          <c:showSerName val="0"/>
          <c:showPercent val="0"/>
          <c:showBubbleSize val="0"/>
          <c:showLeaderLines val="1"/>
        </c:dLbls>
        <c:gapWidth val="100"/>
        <c:splitType val="pos"/>
        <c:splitPos val="9"/>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Sheet1!$B$3:$B$8</cx:f>
        <cx:lvl ptCount="6">
          <cx:pt idx="0">Pearls, precious stones, metals, coins </cx:pt>
          <cx:pt idx="1">Tobacco and manufactures, tobacco substitutes</cx:pt>
          <cx:pt idx="2">Nickel</cx:pt>
          <cx:pt idx="3">Ores, slag and ash</cx:pt>
          <cx:pt idx="4">Iron and steel</cx:pt>
          <cx:pt idx="5">Others</cx:pt>
        </cx:lvl>
      </cx:strDim>
      <cx:numDim type="size">
        <cx:f>Sheet1!$C$3:$C$8</cx:f>
        <cx:lvl ptCount="6" formatCode="General">
          <cx:pt idx="0">33</cx:pt>
          <cx:pt idx="1">22</cx:pt>
          <cx:pt idx="2">13</cx:pt>
          <cx:pt idx="3">12</cx:pt>
          <cx:pt idx="4">6.2000000000000002</cx:pt>
          <cx:pt idx="5">13.800000000000001</cx:pt>
        </cx:lvl>
      </cx:numDim>
    </cx:data>
    <cx:data id="1">
      <cx:strDim type="cat">
        <cx:f>Sheet1!$B$3:$B$8</cx:f>
        <cx:lvl ptCount="6">
          <cx:pt idx="0">Pearls, precious stones, metals, coins </cx:pt>
          <cx:pt idx="1">Tobacco and manufactures, tobacco substitutes</cx:pt>
          <cx:pt idx="2">Nickel</cx:pt>
          <cx:pt idx="3">Ores, slag and ash</cx:pt>
          <cx:pt idx="4">Iron and steel</cx:pt>
          <cx:pt idx="5">Others</cx:pt>
        </cx:lvl>
      </cx:strDim>
      <cx:numDim type="size">
        <cx:f>Sheet1!$D$3:$D$8</cx:f>
        <cx:lvl ptCount="6" formatCode="General">
          <cx:pt idx="0">1.3500000000000001</cx:pt>
          <cx:pt idx="1">0.89300000000000002</cx:pt>
          <cx:pt idx="2">0.52500000000000002</cx:pt>
          <cx:pt idx="3">0.497</cx:pt>
          <cx:pt idx="4">0.252</cx:pt>
          <cx:pt idx="5">0.45100000000000001</cx:pt>
        </cx:lvl>
      </cx:numDim>
    </cx:data>
  </cx:chartData>
  <cx:chart>
    <cx:title pos="t" align="ctr" overlay="0">
      <cx:tx>
        <cx:txData>
          <cx:v>Zimbabwe 2018 Exports by Category (%)</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Zimbabwe 2018 Exports by Category (%)</a:t>
          </a:r>
        </a:p>
      </cx:txPr>
    </cx:title>
    <cx:plotArea>
      <cx:plotAreaRegion>
        <cx:series layoutId="treemap" uniqueId="{5EC3093C-9BAA-47F3-9654-4FA8A8F142CA}" formatIdx="0">
          <cx:tx>
            <cx:txData>
              <cx:f>Sheet1!$C$2</cx:f>
              <cx:v>% of total exports</cx:v>
            </cx:txData>
          </cx:tx>
          <cx:dataLabels pos="inEnd">
            <cx:txPr>
              <a:bodyPr spcFirstLastPara="1" vertOverflow="ellipsis" horzOverflow="overflow" wrap="square" lIns="0" tIns="0" rIns="0" bIns="0" anchor="ctr" anchorCtr="1"/>
              <a:lstStyle/>
              <a:p>
                <a:pPr algn="ctr" rtl="0">
                  <a:defRPr sz="1300" cap="all" baseline="0"/>
                </a:pPr>
                <a:endParaRPr lang="en-US" sz="1300" b="0" i="0" u="none" strike="noStrike" cap="all" baseline="0">
                  <a:solidFill>
                    <a:sysClr val="window" lastClr="FFFFFF"/>
                  </a:solidFill>
                  <a:latin typeface="Calibri" panose="020F0502020204030204"/>
                </a:endParaRPr>
              </a:p>
            </cx:txPr>
            <cx:visibility seriesName="0" categoryName="1" value="1"/>
            <cx:separator>
</cx:separator>
            <cx:dataLabel idx="0">
              <cx:txPr>
                <a:bodyPr spcFirstLastPara="1" vertOverflow="ellipsis" horzOverflow="overflow" wrap="square" lIns="0" tIns="0" rIns="0" bIns="0" anchor="ctr" anchorCtr="1"/>
                <a:lstStyle/>
                <a:p>
                  <a:pPr algn="ctr" rtl="0">
                    <a:defRPr sz="1410" baseline="0"/>
                  </a:pPr>
                  <a:r>
                    <a:rPr lang="en-US" sz="1410" b="0" i="0" u="none" strike="noStrike" baseline="0">
                      <a:solidFill>
                        <a:sysClr val="window" lastClr="FFFFFF"/>
                      </a:solidFill>
                      <a:latin typeface="Calibri" panose="020F0502020204030204"/>
                    </a:rPr>
                    <a:t>Pearls, precious stones, metals, coins 
33</a:t>
                  </a:r>
                </a:p>
              </cx:txPr>
              <cx:visibility seriesName="0" categoryName="1" value="1"/>
              <cx:separator>
</cx:separator>
            </cx:dataLabel>
          </cx:dataLabels>
          <cx:dataId val="0"/>
          <cx:layoutPr>
            <cx:parentLabelLayout val="overlapping"/>
          </cx:layoutPr>
        </cx:series>
        <cx:series layoutId="treemap" hidden="1" uniqueId="{8ECE3E9A-D9E8-4B3A-8DCC-B265A5A01DF2}" formatIdx="1">
          <cx:tx>
            <cx:txData>
              <cx:f>Sheet1!$D$2</cx:f>
              <cx:v>Value of exports</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15</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Mutize</dc:creator>
  <cp:keywords/>
  <dc:description/>
  <cp:lastModifiedBy>Takudzwa Mutize</cp:lastModifiedBy>
  <cp:revision>2</cp:revision>
  <dcterms:created xsi:type="dcterms:W3CDTF">2020-04-09T19:44:00Z</dcterms:created>
  <dcterms:modified xsi:type="dcterms:W3CDTF">2020-04-09T19:44:00Z</dcterms:modified>
</cp:coreProperties>
</file>