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B4" w:rsidRDefault="001263B4" w:rsidP="001263B4">
      <w:pPr>
        <w:spacing w:after="0" w:line="276" w:lineRule="auto"/>
        <w:jc w:val="both"/>
        <w:rPr>
          <w:rFonts w:cstheme="minorHAnsi"/>
          <w:b/>
          <w:sz w:val="24"/>
          <w:szCs w:val="24"/>
        </w:rPr>
      </w:pPr>
      <w:r>
        <w:rPr>
          <w:rFonts w:cstheme="minorHAnsi"/>
          <w:b/>
          <w:sz w:val="24"/>
          <w:szCs w:val="24"/>
        </w:rPr>
        <w:t>Author details:</w:t>
      </w:r>
    </w:p>
    <w:p w:rsidR="001263B4" w:rsidRDefault="001263B4" w:rsidP="001263B4">
      <w:pPr>
        <w:spacing w:after="0" w:line="276" w:lineRule="auto"/>
        <w:jc w:val="both"/>
        <w:rPr>
          <w:rFonts w:cstheme="minorHAnsi"/>
          <w:b/>
          <w:sz w:val="24"/>
          <w:szCs w:val="24"/>
        </w:rPr>
      </w:pPr>
    </w:p>
    <w:p w:rsidR="001263B4" w:rsidRDefault="001263B4" w:rsidP="001263B4">
      <w:pPr>
        <w:spacing w:after="0" w:line="276" w:lineRule="auto"/>
        <w:jc w:val="both"/>
        <w:rPr>
          <w:rFonts w:cstheme="minorHAnsi"/>
          <w:b/>
          <w:sz w:val="24"/>
          <w:szCs w:val="24"/>
        </w:rPr>
      </w:pPr>
      <w:r>
        <w:rPr>
          <w:rFonts w:cstheme="minorHAnsi"/>
          <w:b/>
          <w:sz w:val="24"/>
          <w:szCs w:val="24"/>
        </w:rPr>
        <w:t>Musa Kika</w:t>
      </w:r>
    </w:p>
    <w:p w:rsidR="001263B4" w:rsidRPr="001263B4" w:rsidRDefault="001263B4" w:rsidP="001263B4">
      <w:pPr>
        <w:spacing w:line="276" w:lineRule="auto"/>
        <w:jc w:val="both"/>
        <w:rPr>
          <w:rFonts w:cstheme="minorHAnsi"/>
          <w:sz w:val="24"/>
          <w:szCs w:val="24"/>
        </w:rPr>
      </w:pPr>
      <w:r w:rsidRPr="001263B4">
        <w:rPr>
          <w:rFonts w:cstheme="minorHAnsi"/>
          <w:sz w:val="24"/>
          <w:szCs w:val="24"/>
        </w:rPr>
        <w:t xml:space="preserve">PhD (Public Law) </w:t>
      </w:r>
      <w:proofErr w:type="spellStart"/>
      <w:r w:rsidRPr="001263B4">
        <w:rPr>
          <w:rFonts w:cstheme="minorHAnsi"/>
          <w:sz w:val="24"/>
          <w:szCs w:val="24"/>
        </w:rPr>
        <w:t>Cand</w:t>
      </w:r>
      <w:proofErr w:type="spellEnd"/>
      <w:r w:rsidRPr="001263B4">
        <w:rPr>
          <w:rFonts w:cstheme="minorHAnsi"/>
          <w:sz w:val="24"/>
          <w:szCs w:val="24"/>
        </w:rPr>
        <w:t>. (Cape Town); LLM (Harvard); LLB (</w:t>
      </w:r>
      <w:r w:rsidRPr="001263B4">
        <w:rPr>
          <w:rFonts w:cstheme="minorHAnsi"/>
          <w:i/>
          <w:sz w:val="24"/>
          <w:szCs w:val="24"/>
        </w:rPr>
        <w:t>summa cum laude</w:t>
      </w:r>
      <w:r w:rsidRPr="001263B4">
        <w:rPr>
          <w:rFonts w:cstheme="minorHAnsi"/>
          <w:sz w:val="24"/>
          <w:szCs w:val="24"/>
        </w:rPr>
        <w:t xml:space="preserve">) </w:t>
      </w:r>
      <w:r>
        <w:rPr>
          <w:rFonts w:cstheme="minorHAnsi"/>
          <w:sz w:val="24"/>
          <w:szCs w:val="24"/>
        </w:rPr>
        <w:t>(</w:t>
      </w:r>
      <w:r w:rsidRPr="001263B4">
        <w:rPr>
          <w:rFonts w:cstheme="minorHAnsi"/>
          <w:sz w:val="24"/>
          <w:szCs w:val="24"/>
        </w:rPr>
        <w:t>UKZN</w:t>
      </w:r>
      <w:r>
        <w:rPr>
          <w:rFonts w:cstheme="minorHAnsi"/>
          <w:sz w:val="24"/>
          <w:szCs w:val="24"/>
        </w:rPr>
        <w:t>)</w:t>
      </w:r>
      <w:r w:rsidRPr="001263B4">
        <w:rPr>
          <w:rFonts w:cstheme="minorHAnsi"/>
          <w:sz w:val="24"/>
          <w:szCs w:val="24"/>
        </w:rPr>
        <w:t>; Cert. Advanced Human Rights (Pretoria)</w:t>
      </w:r>
    </w:p>
    <w:p w:rsidR="001263B4" w:rsidRPr="001263B4" w:rsidRDefault="001263B4" w:rsidP="001263B4">
      <w:pPr>
        <w:spacing w:line="276" w:lineRule="auto"/>
        <w:jc w:val="both"/>
        <w:rPr>
          <w:rFonts w:cstheme="minorHAnsi"/>
          <w:sz w:val="24"/>
          <w:szCs w:val="24"/>
        </w:rPr>
      </w:pPr>
      <w:r w:rsidRPr="001263B4">
        <w:rPr>
          <w:rFonts w:cstheme="minorHAnsi"/>
          <w:sz w:val="24"/>
          <w:szCs w:val="24"/>
        </w:rPr>
        <w:t xml:space="preserve">Musa Kika consults on issues of judicial governance, constitutionalism, rule of law and human rights. He writes in his personal capacity, and can be reached at </w:t>
      </w:r>
      <w:hyperlink r:id="rId8" w:history="1">
        <w:r w:rsidRPr="001263B4">
          <w:rPr>
            <w:rStyle w:val="Hyperlink"/>
            <w:rFonts w:cstheme="minorHAnsi"/>
            <w:sz w:val="24"/>
            <w:szCs w:val="24"/>
          </w:rPr>
          <w:t>musakika@gmail.com</w:t>
        </w:r>
      </w:hyperlink>
      <w:r w:rsidRPr="001263B4">
        <w:rPr>
          <w:rFonts w:cstheme="minorHAnsi"/>
          <w:sz w:val="24"/>
          <w:szCs w:val="24"/>
        </w:rPr>
        <w:t xml:space="preserve"> or </w:t>
      </w:r>
      <w:hyperlink r:id="rId9" w:history="1">
        <w:r w:rsidRPr="001263B4">
          <w:rPr>
            <w:rStyle w:val="Hyperlink"/>
            <w:rFonts w:cstheme="minorHAnsi"/>
            <w:sz w:val="24"/>
            <w:szCs w:val="24"/>
          </w:rPr>
          <w:t>mkika@llm17.law.harvard.edu</w:t>
        </w:r>
      </w:hyperlink>
      <w:r w:rsidRPr="001263B4">
        <w:rPr>
          <w:rFonts w:cstheme="minorHAnsi"/>
          <w:sz w:val="24"/>
          <w:szCs w:val="24"/>
        </w:rPr>
        <w:t xml:space="preserve">. </w:t>
      </w:r>
    </w:p>
    <w:p w:rsidR="001263B4" w:rsidRDefault="001263B4" w:rsidP="0032515A">
      <w:pPr>
        <w:spacing w:line="276" w:lineRule="auto"/>
        <w:jc w:val="center"/>
        <w:rPr>
          <w:rFonts w:cstheme="minorHAnsi"/>
          <w:b/>
          <w:sz w:val="24"/>
          <w:szCs w:val="24"/>
        </w:rPr>
      </w:pPr>
    </w:p>
    <w:p w:rsidR="001263B4" w:rsidRDefault="001263B4" w:rsidP="0032515A">
      <w:pPr>
        <w:spacing w:line="276" w:lineRule="auto"/>
        <w:jc w:val="center"/>
        <w:rPr>
          <w:rFonts w:cstheme="minorHAnsi"/>
          <w:b/>
          <w:sz w:val="24"/>
          <w:szCs w:val="24"/>
        </w:rPr>
      </w:pPr>
    </w:p>
    <w:p w:rsidR="00E70CCF" w:rsidRPr="004A02D5" w:rsidRDefault="0032515A" w:rsidP="0032515A">
      <w:pPr>
        <w:spacing w:line="276" w:lineRule="auto"/>
        <w:jc w:val="center"/>
        <w:rPr>
          <w:rFonts w:cstheme="minorHAnsi"/>
          <w:b/>
          <w:sz w:val="24"/>
          <w:szCs w:val="24"/>
        </w:rPr>
      </w:pPr>
      <w:r>
        <w:rPr>
          <w:rFonts w:cstheme="minorHAnsi"/>
          <w:b/>
          <w:sz w:val="24"/>
          <w:szCs w:val="24"/>
        </w:rPr>
        <w:t>PRESIDENTIAL RESCISSION OF THE APPOINTMENT OF RAY GOBA AS PROSECUTOR-GENERAL: BREACH OF THE CONSTITUTION OR NOT?</w:t>
      </w:r>
    </w:p>
    <w:p w:rsidR="007865C0" w:rsidRPr="004A02D5" w:rsidRDefault="007865C0" w:rsidP="004A02D5">
      <w:pPr>
        <w:spacing w:line="276" w:lineRule="auto"/>
        <w:jc w:val="both"/>
        <w:rPr>
          <w:rFonts w:cstheme="minorHAnsi"/>
          <w:sz w:val="24"/>
          <w:szCs w:val="24"/>
        </w:rPr>
      </w:pPr>
    </w:p>
    <w:p w:rsidR="007865C0" w:rsidRPr="004A02D5" w:rsidRDefault="0032515A" w:rsidP="004A02D5">
      <w:pPr>
        <w:spacing w:line="276" w:lineRule="auto"/>
        <w:jc w:val="both"/>
        <w:rPr>
          <w:rFonts w:cstheme="minorHAnsi"/>
          <w:b/>
          <w:sz w:val="24"/>
          <w:szCs w:val="24"/>
        </w:rPr>
      </w:pPr>
      <w:r>
        <w:rPr>
          <w:rFonts w:cstheme="minorHAnsi"/>
          <w:b/>
          <w:sz w:val="24"/>
          <w:szCs w:val="24"/>
        </w:rPr>
        <w:t xml:space="preserve">1. </w:t>
      </w:r>
      <w:r w:rsidR="007865C0" w:rsidRPr="004A02D5">
        <w:rPr>
          <w:rFonts w:cstheme="minorHAnsi"/>
          <w:b/>
          <w:sz w:val="24"/>
          <w:szCs w:val="24"/>
        </w:rPr>
        <w:t>B</w:t>
      </w:r>
      <w:r>
        <w:rPr>
          <w:rFonts w:cstheme="minorHAnsi"/>
          <w:b/>
          <w:sz w:val="24"/>
          <w:szCs w:val="24"/>
        </w:rPr>
        <w:t>rief background</w:t>
      </w:r>
    </w:p>
    <w:p w:rsidR="00330C0B" w:rsidRPr="004A02D5" w:rsidRDefault="00330C0B" w:rsidP="004A02D5">
      <w:pPr>
        <w:spacing w:line="276" w:lineRule="auto"/>
        <w:jc w:val="both"/>
        <w:rPr>
          <w:rFonts w:cstheme="minorHAnsi"/>
          <w:sz w:val="24"/>
          <w:szCs w:val="24"/>
        </w:rPr>
      </w:pPr>
      <w:r w:rsidRPr="004A02D5">
        <w:rPr>
          <w:rFonts w:cstheme="minorHAnsi"/>
          <w:sz w:val="24"/>
          <w:szCs w:val="24"/>
        </w:rPr>
        <w:t>Following public interviews before the</w:t>
      </w:r>
      <w:r w:rsidR="001B5444" w:rsidRPr="004A02D5">
        <w:rPr>
          <w:rFonts w:cstheme="minorHAnsi"/>
          <w:sz w:val="24"/>
          <w:szCs w:val="24"/>
        </w:rPr>
        <w:t xml:space="preserve"> Judicial Services Commission for a </w:t>
      </w:r>
      <w:r w:rsidRPr="004A02D5">
        <w:rPr>
          <w:rFonts w:cstheme="minorHAnsi"/>
          <w:sz w:val="24"/>
          <w:szCs w:val="24"/>
        </w:rPr>
        <w:t>new Prosecutor General, Mr Raymond</w:t>
      </w:r>
      <w:r w:rsidR="00846D02" w:rsidRPr="004A02D5">
        <w:rPr>
          <w:rFonts w:cstheme="minorHAnsi"/>
          <w:sz w:val="24"/>
          <w:szCs w:val="24"/>
        </w:rPr>
        <w:t xml:space="preserve"> Hamilton</w:t>
      </w:r>
      <w:r w:rsidRPr="004A02D5">
        <w:rPr>
          <w:rFonts w:cstheme="minorHAnsi"/>
          <w:sz w:val="24"/>
          <w:szCs w:val="24"/>
        </w:rPr>
        <w:t xml:space="preserve"> Goba</w:t>
      </w:r>
      <w:r w:rsidR="009E115E" w:rsidRPr="004A02D5">
        <w:rPr>
          <w:rFonts w:cstheme="minorHAnsi"/>
          <w:sz w:val="24"/>
          <w:szCs w:val="24"/>
        </w:rPr>
        <w:t xml:space="preserve"> was appointed in September 2017</w:t>
      </w:r>
      <w:r w:rsidRPr="004A02D5">
        <w:rPr>
          <w:rFonts w:cstheme="minorHAnsi"/>
          <w:sz w:val="24"/>
          <w:szCs w:val="24"/>
        </w:rPr>
        <w:t xml:space="preserve">. </w:t>
      </w:r>
      <w:r w:rsidR="005762D2">
        <w:rPr>
          <w:rFonts w:cstheme="minorHAnsi"/>
          <w:sz w:val="24"/>
          <w:szCs w:val="24"/>
        </w:rPr>
        <w:t>His appointment</w:t>
      </w:r>
      <w:r w:rsidR="00BC5BAC" w:rsidRPr="004A02D5">
        <w:rPr>
          <w:rFonts w:cstheme="minorHAnsi"/>
          <w:sz w:val="24"/>
          <w:szCs w:val="24"/>
        </w:rPr>
        <w:t xml:space="preserve"> </w:t>
      </w:r>
      <w:r w:rsidR="00455973" w:rsidRPr="004A02D5">
        <w:rPr>
          <w:rFonts w:cstheme="minorHAnsi"/>
          <w:sz w:val="24"/>
          <w:szCs w:val="24"/>
        </w:rPr>
        <w:t xml:space="preserve">with immediate effect </w:t>
      </w:r>
      <w:r w:rsidR="00BC5BAC" w:rsidRPr="004A02D5">
        <w:rPr>
          <w:rFonts w:cstheme="minorHAnsi"/>
          <w:sz w:val="24"/>
          <w:szCs w:val="24"/>
        </w:rPr>
        <w:t xml:space="preserve">was announced in </w:t>
      </w:r>
      <w:r w:rsidR="009E115E" w:rsidRPr="004A02D5">
        <w:rPr>
          <w:rFonts w:cstheme="minorHAnsi"/>
          <w:sz w:val="24"/>
          <w:szCs w:val="24"/>
          <w:shd w:val="clear" w:color="auto" w:fill="FFFFFF"/>
        </w:rPr>
        <w:t>an Extra O</w:t>
      </w:r>
      <w:r w:rsidR="00BC5BAC" w:rsidRPr="004A02D5">
        <w:rPr>
          <w:rFonts w:cstheme="minorHAnsi"/>
          <w:sz w:val="24"/>
          <w:szCs w:val="24"/>
          <w:shd w:val="clear" w:color="auto" w:fill="FFFFFF"/>
        </w:rPr>
        <w:t>rdinary Government Gazette General Notice 493 of 2017 published on the 13</w:t>
      </w:r>
      <w:r w:rsidR="00BC5BAC" w:rsidRPr="004A02D5">
        <w:rPr>
          <w:rFonts w:cstheme="minorHAnsi"/>
          <w:sz w:val="24"/>
          <w:szCs w:val="24"/>
          <w:shd w:val="clear" w:color="auto" w:fill="FFFFFF"/>
          <w:vertAlign w:val="superscript"/>
        </w:rPr>
        <w:t>th</w:t>
      </w:r>
      <w:r w:rsidR="009E115E" w:rsidRPr="004A02D5">
        <w:rPr>
          <w:rFonts w:cstheme="minorHAnsi"/>
          <w:sz w:val="24"/>
          <w:szCs w:val="24"/>
          <w:shd w:val="clear" w:color="auto" w:fill="FFFFFF"/>
        </w:rPr>
        <w:t xml:space="preserve"> of September 2017, </w:t>
      </w:r>
      <w:r w:rsidR="00455973" w:rsidRPr="004A02D5">
        <w:rPr>
          <w:rFonts w:cstheme="minorHAnsi"/>
          <w:sz w:val="24"/>
          <w:szCs w:val="24"/>
          <w:shd w:val="clear" w:color="auto" w:fill="FFFFFF"/>
        </w:rPr>
        <w:t xml:space="preserve">which was signed by </w:t>
      </w:r>
      <w:r w:rsidR="009E115E" w:rsidRPr="004A02D5">
        <w:rPr>
          <w:rFonts w:cstheme="minorHAnsi"/>
          <w:sz w:val="24"/>
          <w:szCs w:val="24"/>
          <w:shd w:val="clear" w:color="auto" w:fill="FFFFFF"/>
        </w:rPr>
        <w:t>Chief S</w:t>
      </w:r>
      <w:r w:rsidR="00455973" w:rsidRPr="004A02D5">
        <w:rPr>
          <w:rFonts w:cstheme="minorHAnsi"/>
          <w:sz w:val="24"/>
          <w:szCs w:val="24"/>
          <w:shd w:val="clear" w:color="auto" w:fill="FFFFFF"/>
        </w:rPr>
        <w:t xml:space="preserve">ecretary to the </w:t>
      </w:r>
      <w:r w:rsidR="009E115E" w:rsidRPr="004A02D5">
        <w:rPr>
          <w:rFonts w:cstheme="minorHAnsi"/>
          <w:sz w:val="24"/>
          <w:szCs w:val="24"/>
          <w:shd w:val="clear" w:color="auto" w:fill="FFFFFF"/>
        </w:rPr>
        <w:t>P</w:t>
      </w:r>
      <w:r w:rsidR="00455973" w:rsidRPr="004A02D5">
        <w:rPr>
          <w:rFonts w:cstheme="minorHAnsi"/>
          <w:sz w:val="24"/>
          <w:szCs w:val="24"/>
          <w:shd w:val="clear" w:color="auto" w:fill="FFFFFF"/>
        </w:rPr>
        <w:t xml:space="preserve">resident and Cabinet </w:t>
      </w:r>
      <w:proofErr w:type="spellStart"/>
      <w:r w:rsidR="00455973" w:rsidRPr="004A02D5">
        <w:rPr>
          <w:rFonts w:cstheme="minorHAnsi"/>
          <w:sz w:val="24"/>
          <w:szCs w:val="24"/>
          <w:shd w:val="clear" w:color="auto" w:fill="FFFFFF"/>
        </w:rPr>
        <w:t>Misheck</w:t>
      </w:r>
      <w:proofErr w:type="spellEnd"/>
      <w:r w:rsidR="00455973" w:rsidRPr="004A02D5">
        <w:rPr>
          <w:rFonts w:cstheme="minorHAnsi"/>
          <w:sz w:val="24"/>
          <w:szCs w:val="24"/>
          <w:shd w:val="clear" w:color="auto" w:fill="FFFFFF"/>
        </w:rPr>
        <w:t xml:space="preserve"> Sibanda</w:t>
      </w:r>
      <w:r w:rsidR="009E115E" w:rsidRPr="004A02D5">
        <w:rPr>
          <w:rFonts w:cstheme="minorHAnsi"/>
          <w:sz w:val="24"/>
          <w:szCs w:val="24"/>
          <w:shd w:val="clear" w:color="auto" w:fill="FFFFFF"/>
        </w:rPr>
        <w:t>.</w:t>
      </w:r>
      <w:r w:rsidR="00455973" w:rsidRPr="004A02D5">
        <w:rPr>
          <w:rFonts w:cstheme="minorHAnsi"/>
          <w:sz w:val="24"/>
          <w:szCs w:val="24"/>
          <w:shd w:val="clear" w:color="auto" w:fill="FFFFFF"/>
        </w:rPr>
        <w:t> </w:t>
      </w:r>
      <w:r w:rsidRPr="004A02D5">
        <w:rPr>
          <w:rFonts w:cstheme="minorHAnsi"/>
          <w:sz w:val="24"/>
          <w:szCs w:val="24"/>
        </w:rPr>
        <w:t xml:space="preserve">Mr Goba was appointed to take over from the recently removed Johannes </w:t>
      </w:r>
      <w:proofErr w:type="spellStart"/>
      <w:r w:rsidRPr="004A02D5">
        <w:rPr>
          <w:rFonts w:cstheme="minorHAnsi"/>
          <w:sz w:val="24"/>
          <w:szCs w:val="24"/>
        </w:rPr>
        <w:t>Tomana</w:t>
      </w:r>
      <w:proofErr w:type="spellEnd"/>
      <w:r w:rsidRPr="004A02D5">
        <w:rPr>
          <w:rFonts w:cstheme="minorHAnsi"/>
          <w:sz w:val="24"/>
          <w:szCs w:val="24"/>
        </w:rPr>
        <w:t xml:space="preserve">, who was removed from office for incompetence and abuse of office. </w:t>
      </w:r>
    </w:p>
    <w:p w:rsidR="00985CCD" w:rsidRPr="004A02D5" w:rsidRDefault="00330C0B" w:rsidP="004A02D5">
      <w:pPr>
        <w:pStyle w:val="NormalWeb"/>
        <w:shd w:val="clear" w:color="auto" w:fill="FFFFFF"/>
        <w:spacing w:before="0" w:beforeAutospacing="0" w:after="288" w:afterAutospacing="0" w:line="276" w:lineRule="auto"/>
        <w:jc w:val="both"/>
        <w:textAlignment w:val="baseline"/>
        <w:rPr>
          <w:rFonts w:asciiTheme="minorHAnsi" w:hAnsiTheme="minorHAnsi" w:cstheme="minorHAnsi"/>
        </w:rPr>
      </w:pPr>
      <w:r w:rsidRPr="004A02D5">
        <w:rPr>
          <w:rFonts w:asciiTheme="minorHAnsi" w:hAnsiTheme="minorHAnsi" w:cstheme="minorHAnsi"/>
        </w:rPr>
        <w:t xml:space="preserve">Barely </w:t>
      </w:r>
      <w:r w:rsidR="00AE1FBC" w:rsidRPr="004A02D5">
        <w:rPr>
          <w:rFonts w:asciiTheme="minorHAnsi" w:hAnsiTheme="minorHAnsi" w:cstheme="minorHAnsi"/>
        </w:rPr>
        <w:t>two months</w:t>
      </w:r>
      <w:r w:rsidR="009E115E" w:rsidRPr="004A02D5">
        <w:rPr>
          <w:rFonts w:asciiTheme="minorHAnsi" w:hAnsiTheme="minorHAnsi" w:cstheme="minorHAnsi"/>
        </w:rPr>
        <w:t xml:space="preserve"> later</w:t>
      </w:r>
      <w:r w:rsidR="00AE1FBC" w:rsidRPr="004A02D5">
        <w:rPr>
          <w:rFonts w:asciiTheme="minorHAnsi" w:hAnsiTheme="minorHAnsi" w:cstheme="minorHAnsi"/>
        </w:rPr>
        <w:t xml:space="preserve">, </w:t>
      </w:r>
      <w:r w:rsidR="001B5444" w:rsidRPr="004A02D5">
        <w:rPr>
          <w:rFonts w:asciiTheme="minorHAnsi" w:hAnsiTheme="minorHAnsi" w:cstheme="minorHAnsi"/>
        </w:rPr>
        <w:t xml:space="preserve">an </w:t>
      </w:r>
      <w:r w:rsidR="001B5444" w:rsidRPr="004A02D5">
        <w:rPr>
          <w:rFonts w:asciiTheme="minorHAnsi" w:hAnsiTheme="minorHAnsi" w:cstheme="minorHAnsi"/>
          <w:shd w:val="clear" w:color="auto" w:fill="FFFFFF"/>
        </w:rPr>
        <w:t>Extraordinary Government Gazette published on the 27</w:t>
      </w:r>
      <w:r w:rsidR="001B5444" w:rsidRPr="004A02D5">
        <w:rPr>
          <w:rFonts w:asciiTheme="minorHAnsi" w:hAnsiTheme="minorHAnsi" w:cstheme="minorHAnsi"/>
          <w:shd w:val="clear" w:color="auto" w:fill="FFFFFF"/>
          <w:vertAlign w:val="superscript"/>
        </w:rPr>
        <w:t>th</w:t>
      </w:r>
      <w:r w:rsidR="001B5444" w:rsidRPr="004A02D5">
        <w:rPr>
          <w:rFonts w:asciiTheme="minorHAnsi" w:hAnsiTheme="minorHAnsi" w:cstheme="minorHAnsi"/>
          <w:shd w:val="clear" w:color="auto" w:fill="FFFFFF"/>
        </w:rPr>
        <w:t xml:space="preserve"> of October 2017, General Notice 642 of 2017 repealed the earlier notice on the appoint</w:t>
      </w:r>
      <w:r w:rsidR="009E115E" w:rsidRPr="004A02D5">
        <w:rPr>
          <w:rFonts w:asciiTheme="minorHAnsi" w:hAnsiTheme="minorHAnsi" w:cstheme="minorHAnsi"/>
          <w:shd w:val="clear" w:color="auto" w:fill="FFFFFF"/>
        </w:rPr>
        <w:t xml:space="preserve">ment </w:t>
      </w:r>
      <w:r w:rsidR="001B5444" w:rsidRPr="004A02D5">
        <w:rPr>
          <w:rFonts w:asciiTheme="minorHAnsi" w:hAnsiTheme="minorHAnsi" w:cstheme="minorHAnsi"/>
          <w:shd w:val="clear" w:color="auto" w:fill="FFFFFF"/>
        </w:rPr>
        <w:t xml:space="preserve">of the Prosecutor General. </w:t>
      </w:r>
      <w:r w:rsidR="009E115E" w:rsidRPr="004A02D5">
        <w:rPr>
          <w:rFonts w:asciiTheme="minorHAnsi" w:hAnsiTheme="minorHAnsi" w:cstheme="minorHAnsi"/>
          <w:shd w:val="clear" w:color="auto" w:fill="FFFFFF"/>
        </w:rPr>
        <w:t>T</w:t>
      </w:r>
      <w:r w:rsidR="008028A2" w:rsidRPr="004A02D5">
        <w:rPr>
          <w:rFonts w:asciiTheme="minorHAnsi" w:hAnsiTheme="minorHAnsi" w:cstheme="minorHAnsi"/>
        </w:rPr>
        <w:t xml:space="preserve">he first report that </w:t>
      </w:r>
      <w:r w:rsidR="009E115E" w:rsidRPr="004A02D5">
        <w:rPr>
          <w:rFonts w:asciiTheme="minorHAnsi" w:hAnsiTheme="minorHAnsi" w:cstheme="minorHAnsi"/>
        </w:rPr>
        <w:t xml:space="preserve">Mr </w:t>
      </w:r>
      <w:r w:rsidR="008028A2" w:rsidRPr="004A02D5">
        <w:rPr>
          <w:rFonts w:asciiTheme="minorHAnsi" w:hAnsiTheme="minorHAnsi" w:cstheme="minorHAnsi"/>
        </w:rPr>
        <w:t>Goba’s appointment might be reversed</w:t>
      </w:r>
      <w:r w:rsidR="005558F0" w:rsidRPr="004A02D5">
        <w:rPr>
          <w:rFonts w:asciiTheme="minorHAnsi" w:hAnsiTheme="minorHAnsi" w:cstheme="minorHAnsi"/>
        </w:rPr>
        <w:t xml:space="preserve"> appear</w:t>
      </w:r>
      <w:r w:rsidR="009E115E" w:rsidRPr="004A02D5">
        <w:rPr>
          <w:rFonts w:asciiTheme="minorHAnsi" w:hAnsiTheme="minorHAnsi" w:cstheme="minorHAnsi"/>
        </w:rPr>
        <w:t>ed</w:t>
      </w:r>
      <w:r w:rsidR="005558F0" w:rsidRPr="004A02D5">
        <w:rPr>
          <w:rFonts w:asciiTheme="minorHAnsi" w:hAnsiTheme="minorHAnsi" w:cstheme="minorHAnsi"/>
        </w:rPr>
        <w:t xml:space="preserve"> less than a week following his appointment.</w:t>
      </w:r>
      <w:r w:rsidR="005558F0" w:rsidRPr="004A02D5">
        <w:rPr>
          <w:rStyle w:val="FootnoteReference"/>
          <w:rFonts w:asciiTheme="minorHAnsi" w:hAnsiTheme="minorHAnsi" w:cstheme="minorHAnsi"/>
        </w:rPr>
        <w:footnoteReference w:id="1"/>
      </w:r>
      <w:r w:rsidR="005558F0" w:rsidRPr="004A02D5">
        <w:rPr>
          <w:rFonts w:asciiTheme="minorHAnsi" w:hAnsiTheme="minorHAnsi" w:cstheme="minorHAnsi"/>
        </w:rPr>
        <w:t xml:space="preserve"> Indications were that Dr </w:t>
      </w:r>
      <w:proofErr w:type="spellStart"/>
      <w:r w:rsidR="005558F0" w:rsidRPr="004A02D5">
        <w:rPr>
          <w:rFonts w:asciiTheme="minorHAnsi" w:hAnsiTheme="minorHAnsi" w:cstheme="minorHAnsi"/>
        </w:rPr>
        <w:t>Misheck</w:t>
      </w:r>
      <w:proofErr w:type="spellEnd"/>
      <w:r w:rsidR="005558F0" w:rsidRPr="004A02D5">
        <w:rPr>
          <w:rFonts w:asciiTheme="minorHAnsi" w:hAnsiTheme="minorHAnsi" w:cstheme="minorHAnsi"/>
        </w:rPr>
        <w:t xml:space="preserve"> Sibanda ha</w:t>
      </w:r>
      <w:r w:rsidR="00973F91" w:rsidRPr="004A02D5">
        <w:rPr>
          <w:rFonts w:asciiTheme="minorHAnsi" w:hAnsiTheme="minorHAnsi" w:cstheme="minorHAnsi"/>
        </w:rPr>
        <w:t>d</w:t>
      </w:r>
      <w:r w:rsidR="005558F0" w:rsidRPr="004A02D5">
        <w:rPr>
          <w:rFonts w:asciiTheme="minorHAnsi" w:hAnsiTheme="minorHAnsi" w:cstheme="minorHAnsi"/>
        </w:rPr>
        <w:t xml:space="preserve"> blundered in re</w:t>
      </w:r>
      <w:r w:rsidR="005F4AF6" w:rsidRPr="004A02D5">
        <w:rPr>
          <w:rFonts w:asciiTheme="minorHAnsi" w:hAnsiTheme="minorHAnsi" w:cstheme="minorHAnsi"/>
        </w:rPr>
        <w:t>leasing the E</w:t>
      </w:r>
      <w:r w:rsidR="005558F0" w:rsidRPr="004A02D5">
        <w:rPr>
          <w:rFonts w:asciiTheme="minorHAnsi" w:hAnsiTheme="minorHAnsi" w:cstheme="minorHAnsi"/>
        </w:rPr>
        <w:t>xtra-</w:t>
      </w:r>
      <w:r w:rsidR="005F4AF6" w:rsidRPr="004A02D5">
        <w:rPr>
          <w:rFonts w:asciiTheme="minorHAnsi" w:hAnsiTheme="minorHAnsi" w:cstheme="minorHAnsi"/>
        </w:rPr>
        <w:t>ordinary Gazette</w:t>
      </w:r>
      <w:r w:rsidR="005558F0" w:rsidRPr="004A02D5">
        <w:rPr>
          <w:rFonts w:asciiTheme="minorHAnsi" w:hAnsiTheme="minorHAnsi" w:cstheme="minorHAnsi"/>
        </w:rPr>
        <w:t>, and his conduct was</w:t>
      </w:r>
      <w:r w:rsidR="005558F0" w:rsidRPr="004A02D5">
        <w:rPr>
          <w:rFonts w:asciiTheme="minorHAnsi" w:hAnsiTheme="minorHAnsi" w:cstheme="minorHAnsi"/>
          <w:shd w:val="clear" w:color="auto" w:fill="FFFFFF"/>
        </w:rPr>
        <w:t> “irregular and unauthorised”</w:t>
      </w:r>
      <w:r w:rsidR="00EC4B62" w:rsidRPr="004A02D5">
        <w:rPr>
          <w:rFonts w:asciiTheme="minorHAnsi" w:hAnsiTheme="minorHAnsi" w:cstheme="minorHAnsi"/>
          <w:shd w:val="clear" w:color="auto" w:fill="FFFFFF"/>
        </w:rPr>
        <w:t>, and that the appointment was “null and void”.</w:t>
      </w:r>
      <w:r w:rsidR="005558F0" w:rsidRPr="004A02D5">
        <w:rPr>
          <w:rStyle w:val="FootnoteReference"/>
          <w:rFonts w:asciiTheme="minorHAnsi" w:hAnsiTheme="minorHAnsi" w:cstheme="minorHAnsi"/>
          <w:shd w:val="clear" w:color="auto" w:fill="FFFFFF"/>
        </w:rPr>
        <w:footnoteReference w:id="2"/>
      </w:r>
      <w:r w:rsidR="009E115E" w:rsidRPr="004A02D5">
        <w:rPr>
          <w:rFonts w:asciiTheme="minorHAnsi" w:hAnsiTheme="minorHAnsi" w:cstheme="minorHAnsi"/>
          <w:shd w:val="clear" w:color="auto" w:fill="FFFFFF"/>
        </w:rPr>
        <w:t xml:space="preserve"> The reports were that </w:t>
      </w:r>
      <w:r w:rsidR="00985CCD" w:rsidRPr="004A02D5">
        <w:rPr>
          <w:rFonts w:asciiTheme="minorHAnsi" w:hAnsiTheme="minorHAnsi" w:cstheme="minorHAnsi"/>
        </w:rPr>
        <w:t xml:space="preserve">“there was manipulation and doctoring of the JSC </w:t>
      </w:r>
      <w:r w:rsidR="00351C84">
        <w:rPr>
          <w:rFonts w:asciiTheme="minorHAnsi" w:hAnsiTheme="minorHAnsi" w:cstheme="minorHAnsi"/>
        </w:rPr>
        <w:t xml:space="preserve">[Judicial Service Commission] </w:t>
      </w:r>
      <w:r w:rsidR="00985CCD" w:rsidRPr="004A02D5">
        <w:rPr>
          <w:rFonts w:asciiTheme="minorHAnsi" w:hAnsiTheme="minorHAnsi" w:cstheme="minorHAnsi"/>
        </w:rPr>
        <w:t>recommendations leading to the hurried gazetting of Goba’s name without the usual security clearance required in such high-profile constitutional appointments. The security clearances are done by the Central Intelligence Organisation”.</w:t>
      </w:r>
      <w:r w:rsidR="00DB66D9" w:rsidRPr="004A02D5">
        <w:rPr>
          <w:rStyle w:val="FootnoteReference"/>
          <w:rFonts w:asciiTheme="minorHAnsi" w:hAnsiTheme="minorHAnsi" w:cstheme="minorHAnsi"/>
        </w:rPr>
        <w:footnoteReference w:id="3"/>
      </w:r>
      <w:r w:rsidR="000D11F7" w:rsidRPr="004A02D5">
        <w:rPr>
          <w:rFonts w:asciiTheme="minorHAnsi" w:hAnsiTheme="minorHAnsi" w:cstheme="minorHAnsi"/>
        </w:rPr>
        <w:t xml:space="preserve"> </w:t>
      </w:r>
      <w:r w:rsidR="009B31C4" w:rsidRPr="004A02D5">
        <w:rPr>
          <w:rFonts w:asciiTheme="minorHAnsi" w:hAnsiTheme="minorHAnsi" w:cstheme="minorHAnsi"/>
        </w:rPr>
        <w:t>Additionally, unconfirmed reports are that Ray</w:t>
      </w:r>
      <w:r w:rsidR="005F4AF6" w:rsidRPr="004A02D5">
        <w:rPr>
          <w:rFonts w:asciiTheme="minorHAnsi" w:hAnsiTheme="minorHAnsi" w:cstheme="minorHAnsi"/>
        </w:rPr>
        <w:t>mond</w:t>
      </w:r>
      <w:r w:rsidR="009B31C4" w:rsidRPr="004A02D5">
        <w:rPr>
          <w:rFonts w:asciiTheme="minorHAnsi" w:hAnsiTheme="minorHAnsi" w:cstheme="minorHAnsi"/>
        </w:rPr>
        <w:t xml:space="preserve"> Goba did not receive any appointment letter. </w:t>
      </w:r>
    </w:p>
    <w:p w:rsidR="00330C0B" w:rsidRPr="004A02D5" w:rsidRDefault="00330C0B" w:rsidP="004A02D5">
      <w:pPr>
        <w:spacing w:line="276" w:lineRule="auto"/>
        <w:jc w:val="both"/>
        <w:rPr>
          <w:rFonts w:cstheme="minorHAnsi"/>
          <w:sz w:val="24"/>
          <w:szCs w:val="24"/>
        </w:rPr>
      </w:pPr>
      <w:r w:rsidRPr="004A02D5">
        <w:rPr>
          <w:rFonts w:cstheme="minorHAnsi"/>
          <w:sz w:val="24"/>
          <w:szCs w:val="24"/>
        </w:rPr>
        <w:lastRenderedPageBreak/>
        <w:t>This brief is an enquiry into the legality of both the appointment and re</w:t>
      </w:r>
      <w:r w:rsidR="00022859" w:rsidRPr="004A02D5">
        <w:rPr>
          <w:rFonts w:cstheme="minorHAnsi"/>
          <w:sz w:val="24"/>
          <w:szCs w:val="24"/>
        </w:rPr>
        <w:t xml:space="preserve">peal of the appointment of </w:t>
      </w:r>
      <w:r w:rsidRPr="004A02D5">
        <w:rPr>
          <w:rFonts w:cstheme="minorHAnsi"/>
          <w:sz w:val="24"/>
          <w:szCs w:val="24"/>
        </w:rPr>
        <w:t xml:space="preserve">Mr Raymond Goba. </w:t>
      </w:r>
      <w:r w:rsidR="00022859" w:rsidRPr="004A02D5">
        <w:rPr>
          <w:rFonts w:cstheme="minorHAnsi"/>
          <w:sz w:val="24"/>
          <w:szCs w:val="24"/>
        </w:rPr>
        <w:t xml:space="preserve">The National Prosecuting Authority Act of 2014 </w:t>
      </w:r>
      <w:r w:rsidR="00022859" w:rsidRPr="004A02D5">
        <w:rPr>
          <w:rFonts w:cstheme="minorHAnsi"/>
          <w:sz w:val="24"/>
          <w:szCs w:val="24"/>
          <w:shd w:val="clear" w:color="auto" w:fill="FFFFFF"/>
        </w:rPr>
        <w:t>[Chapter 7:20] i</w:t>
      </w:r>
      <w:r w:rsidR="009E115E" w:rsidRPr="004A02D5">
        <w:rPr>
          <w:rFonts w:cstheme="minorHAnsi"/>
          <w:sz w:val="24"/>
          <w:szCs w:val="24"/>
          <w:shd w:val="clear" w:color="auto" w:fill="FFFFFF"/>
        </w:rPr>
        <w:t>s silent on the appointment or</w:t>
      </w:r>
      <w:r w:rsidR="00022859" w:rsidRPr="004A02D5">
        <w:rPr>
          <w:rFonts w:cstheme="minorHAnsi"/>
          <w:sz w:val="24"/>
          <w:szCs w:val="24"/>
          <w:shd w:val="clear" w:color="auto" w:fill="FFFFFF"/>
        </w:rPr>
        <w:t xml:space="preserve"> removal of the Prosecutor General, and the Constitution is the only legal instrument addressing th</w:t>
      </w:r>
      <w:r w:rsidR="009E115E" w:rsidRPr="004A02D5">
        <w:rPr>
          <w:rFonts w:cstheme="minorHAnsi"/>
          <w:sz w:val="24"/>
          <w:szCs w:val="24"/>
          <w:shd w:val="clear" w:color="auto" w:fill="FFFFFF"/>
        </w:rPr>
        <w:t>e</w:t>
      </w:r>
      <w:r w:rsidR="00022859" w:rsidRPr="004A02D5">
        <w:rPr>
          <w:rFonts w:cstheme="minorHAnsi"/>
          <w:sz w:val="24"/>
          <w:szCs w:val="24"/>
          <w:shd w:val="clear" w:color="auto" w:fill="FFFFFF"/>
        </w:rPr>
        <w:t xml:space="preserve"> subject. </w:t>
      </w:r>
    </w:p>
    <w:p w:rsidR="007865C0" w:rsidRPr="004A02D5" w:rsidRDefault="007865C0" w:rsidP="004A02D5">
      <w:pPr>
        <w:spacing w:line="276" w:lineRule="auto"/>
        <w:jc w:val="both"/>
        <w:rPr>
          <w:rFonts w:cstheme="minorHAnsi"/>
          <w:b/>
          <w:sz w:val="24"/>
          <w:szCs w:val="24"/>
        </w:rPr>
      </w:pPr>
    </w:p>
    <w:p w:rsidR="007865C0" w:rsidRPr="004A02D5" w:rsidRDefault="0032515A" w:rsidP="004A02D5">
      <w:pPr>
        <w:spacing w:line="276" w:lineRule="auto"/>
        <w:jc w:val="both"/>
        <w:rPr>
          <w:rFonts w:cstheme="minorHAnsi"/>
          <w:b/>
          <w:sz w:val="24"/>
          <w:szCs w:val="24"/>
        </w:rPr>
      </w:pPr>
      <w:r>
        <w:rPr>
          <w:rFonts w:cstheme="minorHAnsi"/>
          <w:b/>
          <w:sz w:val="24"/>
          <w:szCs w:val="24"/>
        </w:rPr>
        <w:t>2. The law o</w:t>
      </w:r>
      <w:r w:rsidRPr="004A02D5">
        <w:rPr>
          <w:rFonts w:cstheme="minorHAnsi"/>
          <w:b/>
          <w:sz w:val="24"/>
          <w:szCs w:val="24"/>
        </w:rPr>
        <w:t xml:space="preserve">n </w:t>
      </w:r>
      <w:r>
        <w:rPr>
          <w:rFonts w:cstheme="minorHAnsi"/>
          <w:b/>
          <w:sz w:val="24"/>
          <w:szCs w:val="24"/>
        </w:rPr>
        <w:t>a</w:t>
      </w:r>
      <w:r w:rsidRPr="004A02D5">
        <w:rPr>
          <w:rFonts w:cstheme="minorHAnsi"/>
          <w:b/>
          <w:sz w:val="24"/>
          <w:szCs w:val="24"/>
        </w:rPr>
        <w:t>ppointment</w:t>
      </w:r>
    </w:p>
    <w:p w:rsidR="00953D1A" w:rsidRPr="004A02D5" w:rsidRDefault="00AB690D" w:rsidP="004A02D5">
      <w:pPr>
        <w:spacing w:line="276" w:lineRule="auto"/>
        <w:jc w:val="both"/>
        <w:rPr>
          <w:rFonts w:cstheme="minorHAnsi"/>
          <w:sz w:val="24"/>
          <w:szCs w:val="24"/>
        </w:rPr>
      </w:pPr>
      <w:r w:rsidRPr="004A02D5">
        <w:rPr>
          <w:rFonts w:cstheme="minorHAnsi"/>
          <w:sz w:val="24"/>
          <w:szCs w:val="24"/>
        </w:rPr>
        <w:t xml:space="preserve">Section 259 of the Constitution </w:t>
      </w:r>
      <w:r w:rsidR="00953D1A" w:rsidRPr="004A02D5">
        <w:rPr>
          <w:rFonts w:cstheme="minorHAnsi"/>
          <w:sz w:val="24"/>
          <w:szCs w:val="24"/>
        </w:rPr>
        <w:t>provides</w:t>
      </w:r>
      <w:r w:rsidRPr="004A02D5">
        <w:rPr>
          <w:rFonts w:cstheme="minorHAnsi"/>
          <w:sz w:val="24"/>
          <w:szCs w:val="24"/>
        </w:rPr>
        <w:t xml:space="preserve"> as follows:</w:t>
      </w:r>
    </w:p>
    <w:p w:rsidR="00953D1A" w:rsidRPr="004A02D5" w:rsidRDefault="00953D1A" w:rsidP="004A02D5">
      <w:pPr>
        <w:spacing w:line="276" w:lineRule="auto"/>
        <w:ind w:left="720"/>
        <w:jc w:val="both"/>
        <w:rPr>
          <w:rFonts w:cstheme="minorHAnsi"/>
          <w:sz w:val="24"/>
          <w:szCs w:val="24"/>
        </w:rPr>
      </w:pPr>
      <w:r w:rsidRPr="004A02D5">
        <w:rPr>
          <w:rFonts w:cstheme="minorHAnsi"/>
          <w:sz w:val="24"/>
          <w:szCs w:val="24"/>
        </w:rPr>
        <w:t>“3. The Prosecutor-General is appointed by the President on the advice of the Judicial Service Commission following the procedure for the appointment of a judge.</w:t>
      </w:r>
    </w:p>
    <w:p w:rsidR="00953D1A" w:rsidRPr="004A02D5" w:rsidRDefault="00953D1A" w:rsidP="004A02D5">
      <w:pPr>
        <w:spacing w:line="276" w:lineRule="auto"/>
        <w:ind w:left="720"/>
        <w:jc w:val="both"/>
        <w:rPr>
          <w:rFonts w:cstheme="minorHAnsi"/>
          <w:sz w:val="24"/>
          <w:szCs w:val="24"/>
        </w:rPr>
      </w:pPr>
      <w:r w:rsidRPr="004A02D5">
        <w:rPr>
          <w:rFonts w:cstheme="minorHAnsi"/>
          <w:sz w:val="24"/>
          <w:szCs w:val="24"/>
        </w:rPr>
        <w:t xml:space="preserve">4. The Prosecutor-General must be a person qualified for appointment as a judge of the Supreme Court.” </w:t>
      </w:r>
    </w:p>
    <w:p w:rsidR="001B5444" w:rsidRPr="004A02D5" w:rsidRDefault="001B5444" w:rsidP="004A02D5">
      <w:pPr>
        <w:spacing w:line="276" w:lineRule="auto"/>
        <w:jc w:val="both"/>
        <w:rPr>
          <w:rFonts w:cstheme="minorHAnsi"/>
          <w:sz w:val="24"/>
          <w:szCs w:val="24"/>
        </w:rPr>
      </w:pPr>
      <w:r w:rsidRPr="004A02D5">
        <w:rPr>
          <w:rFonts w:cstheme="minorHAnsi"/>
          <w:sz w:val="24"/>
          <w:szCs w:val="24"/>
        </w:rPr>
        <w:t xml:space="preserve">This procedure for the appointment </w:t>
      </w:r>
      <w:r w:rsidR="00AB690D" w:rsidRPr="004A02D5">
        <w:rPr>
          <w:rFonts w:cstheme="minorHAnsi"/>
          <w:sz w:val="24"/>
          <w:szCs w:val="24"/>
        </w:rPr>
        <w:t>of judges is laid out in the Constitution, and involves</w:t>
      </w:r>
      <w:r w:rsidRPr="004A02D5">
        <w:rPr>
          <w:rFonts w:cstheme="minorHAnsi"/>
          <w:sz w:val="24"/>
          <w:szCs w:val="24"/>
        </w:rPr>
        <w:t xml:space="preserve"> public interviews, and a list of three candidates being submitted to the President for consideration. The President is required to appoint only from that li</w:t>
      </w:r>
      <w:r w:rsidR="00AB690D" w:rsidRPr="004A02D5">
        <w:rPr>
          <w:rFonts w:cstheme="minorHAnsi"/>
          <w:sz w:val="24"/>
          <w:szCs w:val="24"/>
        </w:rPr>
        <w:t>s</w:t>
      </w:r>
      <w:r w:rsidRPr="004A02D5">
        <w:rPr>
          <w:rFonts w:cstheme="minorHAnsi"/>
          <w:sz w:val="24"/>
          <w:szCs w:val="24"/>
        </w:rPr>
        <w:t xml:space="preserve">t, but can refuse to appoint anyone on that list and request the JSC to supply another list. </w:t>
      </w:r>
    </w:p>
    <w:p w:rsidR="00953D1A" w:rsidRPr="004A02D5" w:rsidRDefault="001B5444" w:rsidP="004A02D5">
      <w:pPr>
        <w:spacing w:line="276" w:lineRule="auto"/>
        <w:jc w:val="both"/>
        <w:rPr>
          <w:rFonts w:cstheme="minorHAnsi"/>
          <w:sz w:val="24"/>
          <w:szCs w:val="24"/>
        </w:rPr>
      </w:pPr>
      <w:r w:rsidRPr="004A02D5">
        <w:rPr>
          <w:rFonts w:cstheme="minorHAnsi"/>
          <w:sz w:val="24"/>
          <w:szCs w:val="24"/>
        </w:rPr>
        <w:t>Having settled on a candidate, section 259(</w:t>
      </w:r>
      <w:r w:rsidR="00953D1A" w:rsidRPr="004A02D5">
        <w:rPr>
          <w:rFonts w:cstheme="minorHAnsi"/>
          <w:sz w:val="24"/>
          <w:szCs w:val="24"/>
        </w:rPr>
        <w:t>6</w:t>
      </w:r>
      <w:r w:rsidRPr="004A02D5">
        <w:rPr>
          <w:rFonts w:cstheme="minorHAnsi"/>
          <w:sz w:val="24"/>
          <w:szCs w:val="24"/>
        </w:rPr>
        <w:t>) requires that: “</w:t>
      </w:r>
      <w:r w:rsidR="00953D1A" w:rsidRPr="004A02D5">
        <w:rPr>
          <w:rFonts w:cstheme="minorHAnsi"/>
          <w:i/>
          <w:sz w:val="24"/>
          <w:szCs w:val="24"/>
        </w:rPr>
        <w:t>Before taking office</w:t>
      </w:r>
      <w:r w:rsidR="00953D1A" w:rsidRPr="004A02D5">
        <w:rPr>
          <w:rFonts w:cstheme="minorHAnsi"/>
          <w:sz w:val="24"/>
          <w:szCs w:val="24"/>
        </w:rPr>
        <w:t xml:space="preserve">, the Prosecutor-General must take, before the President or a person authorised by the President, the oath of office in the form set out in the Third Schedule.” </w:t>
      </w:r>
      <w:r w:rsidRPr="004A02D5">
        <w:rPr>
          <w:rFonts w:cstheme="minorHAnsi"/>
          <w:sz w:val="24"/>
          <w:szCs w:val="24"/>
        </w:rPr>
        <w:t xml:space="preserve">(my emphasis).  </w:t>
      </w:r>
    </w:p>
    <w:p w:rsidR="007865C0" w:rsidRPr="004A02D5" w:rsidRDefault="007865C0" w:rsidP="004A02D5">
      <w:pPr>
        <w:spacing w:line="276" w:lineRule="auto"/>
        <w:jc w:val="both"/>
        <w:rPr>
          <w:rFonts w:cstheme="minorHAnsi"/>
          <w:b/>
          <w:sz w:val="24"/>
          <w:szCs w:val="24"/>
        </w:rPr>
      </w:pPr>
    </w:p>
    <w:p w:rsidR="007865C0" w:rsidRPr="004A02D5" w:rsidRDefault="0032515A" w:rsidP="004A02D5">
      <w:pPr>
        <w:spacing w:line="276" w:lineRule="auto"/>
        <w:jc w:val="both"/>
        <w:rPr>
          <w:rFonts w:cstheme="minorHAnsi"/>
          <w:b/>
          <w:sz w:val="24"/>
          <w:szCs w:val="24"/>
        </w:rPr>
      </w:pPr>
      <w:r>
        <w:rPr>
          <w:rFonts w:cstheme="minorHAnsi"/>
          <w:b/>
          <w:sz w:val="24"/>
          <w:szCs w:val="24"/>
        </w:rPr>
        <w:t xml:space="preserve">3. </w:t>
      </w:r>
      <w:r w:rsidRPr="004A02D5">
        <w:rPr>
          <w:rFonts w:cstheme="minorHAnsi"/>
          <w:b/>
          <w:sz w:val="24"/>
          <w:szCs w:val="24"/>
        </w:rPr>
        <w:t>The law on removal</w:t>
      </w:r>
      <w:r w:rsidR="007865C0" w:rsidRPr="004A02D5">
        <w:rPr>
          <w:rFonts w:cstheme="minorHAnsi"/>
          <w:b/>
          <w:sz w:val="24"/>
          <w:szCs w:val="24"/>
        </w:rPr>
        <w:t xml:space="preserve"> </w:t>
      </w:r>
    </w:p>
    <w:p w:rsidR="00953D1A" w:rsidRPr="004A02D5" w:rsidRDefault="00953D1A" w:rsidP="004A02D5">
      <w:pPr>
        <w:spacing w:line="276" w:lineRule="auto"/>
        <w:jc w:val="both"/>
        <w:rPr>
          <w:rFonts w:cstheme="minorHAnsi"/>
          <w:sz w:val="24"/>
          <w:szCs w:val="24"/>
        </w:rPr>
      </w:pPr>
      <w:r w:rsidRPr="004A02D5">
        <w:rPr>
          <w:rFonts w:cstheme="minorHAnsi"/>
          <w:sz w:val="24"/>
          <w:szCs w:val="24"/>
        </w:rPr>
        <w:t>Section 259(7)</w:t>
      </w:r>
      <w:r w:rsidR="00BB4EFE" w:rsidRPr="004A02D5">
        <w:rPr>
          <w:rFonts w:cstheme="minorHAnsi"/>
          <w:sz w:val="24"/>
          <w:szCs w:val="24"/>
        </w:rPr>
        <w:t xml:space="preserve"> of the Constitution </w:t>
      </w:r>
      <w:r w:rsidRPr="004A02D5">
        <w:rPr>
          <w:rFonts w:cstheme="minorHAnsi"/>
          <w:sz w:val="24"/>
          <w:szCs w:val="24"/>
        </w:rPr>
        <w:t>stipulates that:</w:t>
      </w:r>
    </w:p>
    <w:p w:rsidR="00953D1A" w:rsidRPr="004A02D5" w:rsidRDefault="00953D1A" w:rsidP="004A02D5">
      <w:pPr>
        <w:spacing w:line="276" w:lineRule="auto"/>
        <w:ind w:left="720"/>
        <w:jc w:val="both"/>
        <w:rPr>
          <w:rFonts w:cstheme="minorHAnsi"/>
          <w:sz w:val="24"/>
          <w:szCs w:val="24"/>
        </w:rPr>
      </w:pPr>
      <w:r w:rsidRPr="004A02D5">
        <w:rPr>
          <w:rFonts w:cstheme="minorHAnsi"/>
          <w:sz w:val="24"/>
          <w:szCs w:val="24"/>
        </w:rPr>
        <w:t xml:space="preserve">“7. The provisions relating to the removal of a judge from office apply to the removal of the Prosecutor-General from office.” </w:t>
      </w:r>
    </w:p>
    <w:p w:rsidR="00953D1A" w:rsidRPr="004A02D5" w:rsidRDefault="008C1238" w:rsidP="004A02D5">
      <w:pPr>
        <w:spacing w:line="276" w:lineRule="auto"/>
        <w:jc w:val="both"/>
        <w:rPr>
          <w:rFonts w:cstheme="minorHAnsi"/>
          <w:sz w:val="24"/>
          <w:szCs w:val="24"/>
        </w:rPr>
      </w:pPr>
      <w:r w:rsidRPr="004A02D5">
        <w:rPr>
          <w:rFonts w:cstheme="minorHAnsi"/>
          <w:sz w:val="24"/>
          <w:szCs w:val="24"/>
        </w:rPr>
        <w:t xml:space="preserve">These provisions being </w:t>
      </w:r>
      <w:r w:rsidR="00FA2839" w:rsidRPr="004A02D5">
        <w:rPr>
          <w:rFonts w:cstheme="minorHAnsi"/>
          <w:sz w:val="24"/>
          <w:szCs w:val="24"/>
        </w:rPr>
        <w:t>referred</w:t>
      </w:r>
      <w:r w:rsidRPr="004A02D5">
        <w:rPr>
          <w:rFonts w:cstheme="minorHAnsi"/>
          <w:sz w:val="24"/>
          <w:szCs w:val="24"/>
        </w:rPr>
        <w:t xml:space="preserve"> to are in section </w:t>
      </w:r>
      <w:r w:rsidR="00FA2839" w:rsidRPr="004A02D5">
        <w:rPr>
          <w:rFonts w:cstheme="minorHAnsi"/>
          <w:sz w:val="24"/>
          <w:szCs w:val="24"/>
        </w:rPr>
        <w:t>187, as follows:</w:t>
      </w:r>
    </w:p>
    <w:p w:rsidR="00FA2839" w:rsidRPr="004A02D5" w:rsidRDefault="00FA2839" w:rsidP="004A02D5">
      <w:pPr>
        <w:spacing w:line="276" w:lineRule="auto"/>
        <w:ind w:left="720"/>
        <w:jc w:val="both"/>
        <w:rPr>
          <w:rFonts w:cstheme="minorHAnsi"/>
          <w:b/>
          <w:sz w:val="24"/>
          <w:szCs w:val="24"/>
        </w:rPr>
      </w:pPr>
      <w:r w:rsidRPr="004A02D5">
        <w:rPr>
          <w:rFonts w:cstheme="minorHAnsi"/>
          <w:b/>
          <w:sz w:val="24"/>
          <w:szCs w:val="24"/>
        </w:rPr>
        <w:t xml:space="preserve">“187. Removal of judges from office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1. A judge may be removed from office only for—</w:t>
      </w:r>
    </w:p>
    <w:p w:rsidR="00FA2839" w:rsidRPr="004A02D5" w:rsidRDefault="00FA2839" w:rsidP="004A02D5">
      <w:pPr>
        <w:spacing w:after="0" w:line="276" w:lineRule="auto"/>
        <w:ind w:left="1440"/>
        <w:jc w:val="both"/>
        <w:rPr>
          <w:rFonts w:cstheme="minorHAnsi"/>
          <w:sz w:val="24"/>
          <w:szCs w:val="24"/>
        </w:rPr>
      </w:pPr>
      <w:r w:rsidRPr="004A02D5">
        <w:rPr>
          <w:rFonts w:cstheme="minorHAnsi"/>
          <w:sz w:val="24"/>
          <w:szCs w:val="24"/>
        </w:rPr>
        <w:t xml:space="preserve">a. inability to perform the functions of his or her office, due to mental or physical incapacity; </w:t>
      </w:r>
    </w:p>
    <w:p w:rsidR="00FA2839" w:rsidRPr="004A02D5" w:rsidRDefault="00FA2839" w:rsidP="004A02D5">
      <w:pPr>
        <w:spacing w:after="0" w:line="276" w:lineRule="auto"/>
        <w:ind w:left="1440"/>
        <w:jc w:val="both"/>
        <w:rPr>
          <w:rFonts w:cstheme="minorHAnsi"/>
          <w:sz w:val="24"/>
          <w:szCs w:val="24"/>
        </w:rPr>
      </w:pPr>
      <w:r w:rsidRPr="004A02D5">
        <w:rPr>
          <w:rFonts w:cstheme="minorHAnsi"/>
          <w:sz w:val="24"/>
          <w:szCs w:val="24"/>
        </w:rPr>
        <w:t xml:space="preserve">b. gross incompetence; or </w:t>
      </w:r>
    </w:p>
    <w:p w:rsidR="00FA2839" w:rsidRPr="004A02D5" w:rsidRDefault="00FA2839" w:rsidP="004A02D5">
      <w:pPr>
        <w:spacing w:after="0" w:line="276" w:lineRule="auto"/>
        <w:ind w:left="1440"/>
        <w:jc w:val="both"/>
        <w:rPr>
          <w:rFonts w:cstheme="minorHAnsi"/>
          <w:sz w:val="24"/>
          <w:szCs w:val="24"/>
        </w:rPr>
      </w:pPr>
      <w:r w:rsidRPr="004A02D5">
        <w:rPr>
          <w:rFonts w:cstheme="minorHAnsi"/>
          <w:sz w:val="24"/>
          <w:szCs w:val="24"/>
        </w:rPr>
        <w:t xml:space="preserve">c. gross misconduct;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and a judge cannot be removed from office except in accordance with this section.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lastRenderedPageBreak/>
        <w:t xml:space="preserve">2. If the President considers that the question of removing the Chief Justice from office ought to be investigated, the President must appoint a tribunal to inquire into the matter.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3. If the Judicial Service Commission advises the President that the question of removing any judge, including the Chief Justice, from office ought to be investigated, the President must appoint a tribunal to inquire into the matter.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4. A tribunal appointed under this section must consist of at least three members appointed by the President, of whom—</w:t>
      </w:r>
    </w:p>
    <w:p w:rsidR="00FA2839" w:rsidRPr="004A02D5" w:rsidRDefault="00FA2839" w:rsidP="004A02D5">
      <w:pPr>
        <w:spacing w:line="276" w:lineRule="auto"/>
        <w:ind w:left="1440"/>
        <w:jc w:val="both"/>
        <w:rPr>
          <w:rFonts w:cstheme="minorHAnsi"/>
          <w:sz w:val="24"/>
          <w:szCs w:val="24"/>
        </w:rPr>
      </w:pPr>
      <w:r w:rsidRPr="004A02D5">
        <w:rPr>
          <w:rFonts w:cstheme="minorHAnsi"/>
          <w:sz w:val="24"/>
          <w:szCs w:val="24"/>
        </w:rPr>
        <w:t>a. at least one must be a person who—</w:t>
      </w:r>
    </w:p>
    <w:p w:rsidR="00FA2839" w:rsidRPr="004A02D5" w:rsidRDefault="00FA2839" w:rsidP="004A02D5">
      <w:pPr>
        <w:spacing w:line="276" w:lineRule="auto"/>
        <w:ind w:left="2160"/>
        <w:jc w:val="both"/>
        <w:rPr>
          <w:rFonts w:cstheme="minorHAnsi"/>
          <w:sz w:val="24"/>
          <w:szCs w:val="24"/>
        </w:rPr>
      </w:pPr>
      <w:proofErr w:type="spellStart"/>
      <w:r w:rsidRPr="004A02D5">
        <w:rPr>
          <w:rFonts w:cstheme="minorHAnsi"/>
          <w:sz w:val="24"/>
          <w:szCs w:val="24"/>
        </w:rPr>
        <w:t>i</w:t>
      </w:r>
      <w:proofErr w:type="spellEnd"/>
      <w:r w:rsidRPr="004A02D5">
        <w:rPr>
          <w:rFonts w:cstheme="minorHAnsi"/>
          <w:sz w:val="24"/>
          <w:szCs w:val="24"/>
        </w:rPr>
        <w:t xml:space="preserve">. has served as a judge of the Supreme Court or High Court in Zimbabwe; </w:t>
      </w:r>
    </w:p>
    <w:p w:rsidR="00FA2839" w:rsidRPr="004A02D5" w:rsidRDefault="00FA2839" w:rsidP="004A02D5">
      <w:pPr>
        <w:spacing w:line="276" w:lineRule="auto"/>
        <w:ind w:left="2160"/>
        <w:jc w:val="both"/>
        <w:rPr>
          <w:rFonts w:cstheme="minorHAnsi"/>
          <w:sz w:val="24"/>
          <w:szCs w:val="24"/>
        </w:rPr>
      </w:pPr>
      <w:r w:rsidRPr="004A02D5">
        <w:rPr>
          <w:rFonts w:cstheme="minorHAnsi"/>
          <w:sz w:val="24"/>
          <w:szCs w:val="24"/>
        </w:rPr>
        <w:t xml:space="preserve">ii. holds or has held office as a judge of a court with unlimited jurisdiction in civil or criminal matters in a country whose common law is Roman-Dutch or English, and English is an officially recognised language; </w:t>
      </w:r>
    </w:p>
    <w:p w:rsidR="00FA2839" w:rsidRPr="004A02D5" w:rsidRDefault="00FA2839" w:rsidP="004A02D5">
      <w:pPr>
        <w:spacing w:line="276" w:lineRule="auto"/>
        <w:ind w:left="1440"/>
        <w:jc w:val="both"/>
        <w:rPr>
          <w:rFonts w:cstheme="minorHAnsi"/>
          <w:sz w:val="24"/>
          <w:szCs w:val="24"/>
        </w:rPr>
      </w:pPr>
      <w:r w:rsidRPr="004A02D5">
        <w:rPr>
          <w:rFonts w:cstheme="minorHAnsi"/>
          <w:sz w:val="24"/>
          <w:szCs w:val="24"/>
        </w:rPr>
        <w:t xml:space="preserve">b. at least one must be chosen from a list of three or more legal practitioners of seven years' standing or more who have been nominated by the association, constituted under an Act of Parliament, which represents legal practitioners in Zimbabwe. </w:t>
      </w:r>
    </w:p>
    <w:p w:rsidR="00305AF1"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5. The association referred to in subsection (4)(b) must prepare the list referred to in that subsection when so required by the President.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6. The President must designate one of the members of a tribunal appointed under this section to be chairperson of the tribunal.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7. A tribunal appointed under subsection (2) or (3) must inquire into the question of removing the judge concerned from office and, having done so, must report its findings to the President and recommend whether or not the judge should be removed from office.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8. The President must act in accordance with the tribunal's recommendation in terms of subsection (7).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9. A tribunal appointed under this section has the same rights and powers as commissioners under the Commissions of Inquiry Act [Chapter 10:07], or any law that replaces that Act. </w:t>
      </w:r>
    </w:p>
    <w:p w:rsidR="00FA2839" w:rsidRPr="004A02D5" w:rsidRDefault="00FA2839" w:rsidP="004A02D5">
      <w:pPr>
        <w:spacing w:line="276" w:lineRule="auto"/>
        <w:ind w:left="720"/>
        <w:jc w:val="both"/>
        <w:rPr>
          <w:rFonts w:cstheme="minorHAnsi"/>
          <w:sz w:val="24"/>
          <w:szCs w:val="24"/>
        </w:rPr>
      </w:pPr>
      <w:r w:rsidRPr="004A02D5">
        <w:rPr>
          <w:rFonts w:cstheme="minorHAnsi"/>
          <w:sz w:val="24"/>
          <w:szCs w:val="24"/>
        </w:rPr>
        <w:t xml:space="preserve">10. If the question of removing a judge from office has been referred to a tribunal under this section, the judge is suspended from office until the President, on the </w:t>
      </w:r>
      <w:r w:rsidRPr="004A02D5">
        <w:rPr>
          <w:rFonts w:cstheme="minorHAnsi"/>
          <w:sz w:val="24"/>
          <w:szCs w:val="24"/>
        </w:rPr>
        <w:lastRenderedPageBreak/>
        <w:t xml:space="preserve">recommendation of the tribunal, revokes the suspension or removes the judge from office. </w:t>
      </w:r>
    </w:p>
    <w:p w:rsidR="00FA2839" w:rsidRPr="004A02D5" w:rsidRDefault="00305AF1" w:rsidP="004A02D5">
      <w:pPr>
        <w:spacing w:line="276" w:lineRule="auto"/>
        <w:ind w:left="720"/>
        <w:jc w:val="both"/>
        <w:rPr>
          <w:rFonts w:cstheme="minorHAnsi"/>
          <w:sz w:val="24"/>
          <w:szCs w:val="24"/>
        </w:rPr>
      </w:pPr>
      <w:r w:rsidRPr="004A02D5">
        <w:rPr>
          <w:rFonts w:cstheme="minorHAnsi"/>
          <w:sz w:val="24"/>
          <w:szCs w:val="24"/>
        </w:rPr>
        <w:t>..</w:t>
      </w:r>
      <w:r w:rsidR="00FA2839" w:rsidRPr="004A02D5">
        <w:rPr>
          <w:rFonts w:cstheme="minorHAnsi"/>
          <w:sz w:val="24"/>
          <w:szCs w:val="24"/>
        </w:rPr>
        <w:t>.</w:t>
      </w:r>
      <w:r w:rsidRPr="004A02D5">
        <w:rPr>
          <w:rFonts w:cstheme="minorHAnsi"/>
          <w:sz w:val="24"/>
          <w:szCs w:val="24"/>
        </w:rPr>
        <w:t>”</w:t>
      </w:r>
    </w:p>
    <w:p w:rsidR="00953D1A" w:rsidRPr="004A02D5" w:rsidRDefault="0021111F" w:rsidP="004A02D5">
      <w:pPr>
        <w:spacing w:line="276" w:lineRule="auto"/>
        <w:jc w:val="both"/>
        <w:rPr>
          <w:rFonts w:cstheme="minorHAnsi"/>
          <w:sz w:val="24"/>
          <w:szCs w:val="24"/>
        </w:rPr>
      </w:pPr>
      <w:r w:rsidRPr="004A02D5">
        <w:rPr>
          <w:rFonts w:cstheme="minorHAnsi"/>
          <w:sz w:val="24"/>
          <w:szCs w:val="24"/>
        </w:rPr>
        <w:t xml:space="preserve">Under these provisions, the President cannot </w:t>
      </w:r>
      <w:r w:rsidRPr="004A02D5">
        <w:rPr>
          <w:rFonts w:cstheme="minorHAnsi"/>
          <w:i/>
          <w:sz w:val="24"/>
          <w:szCs w:val="24"/>
        </w:rPr>
        <w:t xml:space="preserve">mero </w:t>
      </w:r>
      <w:proofErr w:type="spellStart"/>
      <w:r w:rsidRPr="004A02D5">
        <w:rPr>
          <w:rFonts w:cstheme="minorHAnsi"/>
          <w:i/>
          <w:sz w:val="24"/>
          <w:szCs w:val="24"/>
        </w:rPr>
        <w:t>motu</w:t>
      </w:r>
      <w:proofErr w:type="spellEnd"/>
      <w:r w:rsidRPr="004A02D5">
        <w:rPr>
          <w:rFonts w:cstheme="minorHAnsi"/>
          <w:sz w:val="24"/>
          <w:szCs w:val="24"/>
        </w:rPr>
        <w:t xml:space="preserve"> decide to institute a tribunal to investigate the suitability of a Prosecutor General to hold office. It must come from the Judicial Service Commission. </w:t>
      </w:r>
    </w:p>
    <w:p w:rsidR="00012CCC" w:rsidRPr="004A02D5" w:rsidRDefault="00012CCC" w:rsidP="004A02D5">
      <w:pPr>
        <w:pStyle w:val="NormalWeb"/>
        <w:shd w:val="clear" w:color="auto" w:fill="FFFFFF"/>
        <w:spacing w:before="0" w:beforeAutospacing="0" w:after="225" w:afterAutospacing="0" w:line="276" w:lineRule="auto"/>
        <w:jc w:val="both"/>
        <w:textAlignment w:val="baseline"/>
        <w:rPr>
          <w:rFonts w:asciiTheme="minorHAnsi" w:hAnsiTheme="minorHAnsi" w:cstheme="minorHAnsi"/>
        </w:rPr>
      </w:pPr>
      <w:r w:rsidRPr="004A02D5">
        <w:rPr>
          <w:rFonts w:asciiTheme="minorHAnsi" w:hAnsiTheme="minorHAnsi" w:cstheme="minorHAnsi"/>
        </w:rPr>
        <w:t xml:space="preserve">Prior to Ray </w:t>
      </w:r>
      <w:proofErr w:type="spellStart"/>
      <w:r w:rsidRPr="004A02D5">
        <w:rPr>
          <w:rFonts w:asciiTheme="minorHAnsi" w:hAnsiTheme="minorHAnsi" w:cstheme="minorHAnsi"/>
        </w:rPr>
        <w:t>Goba</w:t>
      </w:r>
      <w:r w:rsidR="00A36EB6">
        <w:rPr>
          <w:rFonts w:asciiTheme="minorHAnsi" w:hAnsiTheme="minorHAnsi" w:cstheme="minorHAnsi"/>
        </w:rPr>
        <w:t>’</w:t>
      </w:r>
      <w:r w:rsidRPr="004A02D5">
        <w:rPr>
          <w:rFonts w:asciiTheme="minorHAnsi" w:hAnsiTheme="minorHAnsi" w:cstheme="minorHAnsi"/>
        </w:rPr>
        <w:t>s</w:t>
      </w:r>
      <w:bookmarkStart w:id="0" w:name="_GoBack"/>
      <w:bookmarkEnd w:id="0"/>
      <w:proofErr w:type="spellEnd"/>
      <w:r w:rsidRPr="004A02D5">
        <w:rPr>
          <w:rFonts w:asciiTheme="minorHAnsi" w:hAnsiTheme="minorHAnsi" w:cstheme="minorHAnsi"/>
        </w:rPr>
        <w:t xml:space="preserve"> appointment, Mr Johannes Tomana held office, and prior to that, Mr </w:t>
      </w:r>
      <w:proofErr w:type="spellStart"/>
      <w:r w:rsidRPr="004A02D5">
        <w:rPr>
          <w:rFonts w:asciiTheme="minorHAnsi" w:hAnsiTheme="minorHAnsi" w:cstheme="minorHAnsi"/>
        </w:rPr>
        <w:t>Sobusa</w:t>
      </w:r>
      <w:proofErr w:type="spellEnd"/>
      <w:r w:rsidRPr="004A02D5">
        <w:rPr>
          <w:rFonts w:asciiTheme="minorHAnsi" w:hAnsiTheme="minorHAnsi" w:cstheme="minorHAnsi"/>
        </w:rPr>
        <w:t xml:space="preserve"> </w:t>
      </w:r>
      <w:proofErr w:type="spellStart"/>
      <w:r w:rsidRPr="004A02D5">
        <w:rPr>
          <w:rFonts w:asciiTheme="minorHAnsi" w:hAnsiTheme="minorHAnsi" w:cstheme="minorHAnsi"/>
        </w:rPr>
        <w:t>Gula</w:t>
      </w:r>
      <w:proofErr w:type="spellEnd"/>
      <w:r w:rsidRPr="004A02D5">
        <w:rPr>
          <w:rFonts w:asciiTheme="minorHAnsi" w:hAnsiTheme="minorHAnsi" w:cstheme="minorHAnsi"/>
        </w:rPr>
        <w:t xml:space="preserve">-Ndebele was the incumbent. </w:t>
      </w:r>
      <w:r w:rsidR="005E617F" w:rsidRPr="004A02D5">
        <w:rPr>
          <w:rFonts w:asciiTheme="minorHAnsi" w:hAnsiTheme="minorHAnsi" w:cstheme="minorHAnsi"/>
        </w:rPr>
        <w:t xml:space="preserve">We therefore have precedent in how Prosecutor Generals have been removed. </w:t>
      </w:r>
    </w:p>
    <w:p w:rsidR="00012CCC" w:rsidRPr="004A02D5" w:rsidRDefault="00014789" w:rsidP="004A02D5">
      <w:pPr>
        <w:pStyle w:val="NormalWeb"/>
        <w:shd w:val="clear" w:color="auto" w:fill="FFFFFF"/>
        <w:spacing w:before="0" w:beforeAutospacing="0" w:after="225" w:afterAutospacing="0" w:line="276" w:lineRule="auto"/>
        <w:jc w:val="both"/>
        <w:textAlignment w:val="baseline"/>
        <w:rPr>
          <w:rFonts w:asciiTheme="minorHAnsi" w:hAnsiTheme="minorHAnsi" w:cstheme="minorHAnsi"/>
          <w:b/>
          <w:i/>
        </w:rPr>
      </w:pPr>
      <w:r>
        <w:rPr>
          <w:rFonts w:asciiTheme="minorHAnsi" w:hAnsiTheme="minorHAnsi" w:cstheme="minorHAnsi"/>
          <w:b/>
          <w:i/>
        </w:rPr>
        <w:t xml:space="preserve">a. </w:t>
      </w:r>
      <w:r w:rsidR="00012CCC" w:rsidRPr="004A02D5">
        <w:rPr>
          <w:rFonts w:asciiTheme="minorHAnsi" w:hAnsiTheme="minorHAnsi" w:cstheme="minorHAnsi"/>
          <w:b/>
          <w:i/>
        </w:rPr>
        <w:t xml:space="preserve">How was Mr </w:t>
      </w:r>
      <w:proofErr w:type="spellStart"/>
      <w:r w:rsidR="00012CCC" w:rsidRPr="004A02D5">
        <w:rPr>
          <w:rFonts w:asciiTheme="minorHAnsi" w:hAnsiTheme="minorHAnsi" w:cstheme="minorHAnsi"/>
          <w:b/>
          <w:i/>
        </w:rPr>
        <w:t>Sobusa</w:t>
      </w:r>
      <w:proofErr w:type="spellEnd"/>
      <w:r w:rsidR="00012CCC" w:rsidRPr="004A02D5">
        <w:rPr>
          <w:rFonts w:asciiTheme="minorHAnsi" w:hAnsiTheme="minorHAnsi" w:cstheme="minorHAnsi"/>
          <w:b/>
          <w:i/>
        </w:rPr>
        <w:t xml:space="preserve"> </w:t>
      </w:r>
      <w:proofErr w:type="spellStart"/>
      <w:r w:rsidR="00012CCC" w:rsidRPr="004A02D5">
        <w:rPr>
          <w:rFonts w:asciiTheme="minorHAnsi" w:hAnsiTheme="minorHAnsi" w:cstheme="minorHAnsi"/>
          <w:b/>
          <w:i/>
        </w:rPr>
        <w:t>Gula</w:t>
      </w:r>
      <w:proofErr w:type="spellEnd"/>
      <w:r w:rsidR="00012CCC" w:rsidRPr="004A02D5">
        <w:rPr>
          <w:rFonts w:asciiTheme="minorHAnsi" w:hAnsiTheme="minorHAnsi" w:cstheme="minorHAnsi"/>
          <w:b/>
          <w:i/>
        </w:rPr>
        <w:t>-Ndebele removed?</w:t>
      </w:r>
    </w:p>
    <w:p w:rsidR="00184839" w:rsidRPr="004A02D5" w:rsidRDefault="00D00111" w:rsidP="004A02D5">
      <w:pPr>
        <w:pStyle w:val="NormalWeb"/>
        <w:shd w:val="clear" w:color="auto" w:fill="FFFFFF"/>
        <w:spacing w:before="0" w:beforeAutospacing="0" w:after="225" w:afterAutospacing="0" w:line="276" w:lineRule="auto"/>
        <w:jc w:val="both"/>
        <w:textAlignment w:val="baseline"/>
        <w:rPr>
          <w:rFonts w:asciiTheme="minorHAnsi" w:hAnsiTheme="minorHAnsi" w:cstheme="minorHAnsi"/>
        </w:rPr>
      </w:pPr>
      <w:r w:rsidRPr="004A02D5">
        <w:rPr>
          <w:rFonts w:asciiTheme="minorHAnsi" w:hAnsiTheme="minorHAnsi" w:cstheme="minorHAnsi"/>
        </w:rPr>
        <w:t xml:space="preserve">Mr </w:t>
      </w:r>
      <w:proofErr w:type="spellStart"/>
      <w:r w:rsidRPr="004A02D5">
        <w:rPr>
          <w:rFonts w:asciiTheme="minorHAnsi" w:hAnsiTheme="minorHAnsi" w:cstheme="minorHAnsi"/>
        </w:rPr>
        <w:t>Tomana’s</w:t>
      </w:r>
      <w:proofErr w:type="spellEnd"/>
      <w:r w:rsidRPr="004A02D5">
        <w:rPr>
          <w:rFonts w:asciiTheme="minorHAnsi" w:hAnsiTheme="minorHAnsi" w:cstheme="minorHAnsi"/>
        </w:rPr>
        <w:t xml:space="preserve"> predecessor Mr </w:t>
      </w:r>
      <w:proofErr w:type="spellStart"/>
      <w:r w:rsidRPr="004A02D5">
        <w:rPr>
          <w:rFonts w:asciiTheme="minorHAnsi" w:hAnsiTheme="minorHAnsi" w:cstheme="minorHAnsi"/>
        </w:rPr>
        <w:t>Sobusa</w:t>
      </w:r>
      <w:proofErr w:type="spellEnd"/>
      <w:r w:rsidRPr="004A02D5">
        <w:rPr>
          <w:rFonts w:asciiTheme="minorHAnsi" w:hAnsiTheme="minorHAnsi" w:cstheme="minorHAnsi"/>
        </w:rPr>
        <w:t xml:space="preserve"> </w:t>
      </w:r>
      <w:proofErr w:type="spellStart"/>
      <w:r w:rsidRPr="004A02D5">
        <w:rPr>
          <w:rFonts w:asciiTheme="minorHAnsi" w:hAnsiTheme="minorHAnsi" w:cstheme="minorHAnsi"/>
        </w:rPr>
        <w:t>Gula</w:t>
      </w:r>
      <w:proofErr w:type="spellEnd"/>
      <w:r w:rsidRPr="004A02D5">
        <w:rPr>
          <w:rFonts w:asciiTheme="minorHAnsi" w:hAnsiTheme="minorHAnsi" w:cstheme="minorHAnsi"/>
        </w:rPr>
        <w:t>-Ndebele was also removed from the then Attorney-General’s office following recommendations of a tribunal.</w:t>
      </w:r>
      <w:r w:rsidR="00012CCC" w:rsidRPr="004A02D5">
        <w:rPr>
          <w:rFonts w:asciiTheme="minorHAnsi" w:hAnsiTheme="minorHAnsi" w:cstheme="minorHAnsi"/>
        </w:rPr>
        <w:t xml:space="preserve"> </w:t>
      </w:r>
      <w:r w:rsidR="00184839" w:rsidRPr="004A02D5">
        <w:rPr>
          <w:rFonts w:asciiTheme="minorHAnsi" w:hAnsiTheme="minorHAnsi" w:cstheme="minorHAnsi"/>
        </w:rPr>
        <w:t>In December 2007, the President appointed a three-me</w:t>
      </w:r>
      <w:r w:rsidR="00C466B8" w:rsidRPr="004A02D5">
        <w:rPr>
          <w:rFonts w:asciiTheme="minorHAnsi" w:hAnsiTheme="minorHAnsi" w:cstheme="minorHAnsi"/>
        </w:rPr>
        <w:t>m</w:t>
      </w:r>
      <w:r w:rsidR="00184839" w:rsidRPr="004A02D5">
        <w:rPr>
          <w:rFonts w:asciiTheme="minorHAnsi" w:hAnsiTheme="minorHAnsi" w:cstheme="minorHAnsi"/>
        </w:rPr>
        <w:t xml:space="preserve">ber tribunal consisting </w:t>
      </w:r>
      <w:r w:rsidR="00C466B8" w:rsidRPr="004A02D5">
        <w:rPr>
          <w:rFonts w:asciiTheme="minorHAnsi" w:hAnsiTheme="minorHAnsi" w:cstheme="minorHAnsi"/>
        </w:rPr>
        <w:t xml:space="preserve">of Justice </w:t>
      </w:r>
      <w:proofErr w:type="spellStart"/>
      <w:r w:rsidR="00C466B8" w:rsidRPr="004A02D5">
        <w:rPr>
          <w:rFonts w:asciiTheme="minorHAnsi" w:hAnsiTheme="minorHAnsi" w:cstheme="minorHAnsi"/>
        </w:rPr>
        <w:t>Chinembiri</w:t>
      </w:r>
      <w:proofErr w:type="spellEnd"/>
      <w:r w:rsidR="00C466B8" w:rsidRPr="004A02D5">
        <w:rPr>
          <w:rFonts w:asciiTheme="minorHAnsi" w:hAnsiTheme="minorHAnsi" w:cstheme="minorHAnsi"/>
        </w:rPr>
        <w:t xml:space="preserve"> </w:t>
      </w:r>
      <w:proofErr w:type="spellStart"/>
      <w:r w:rsidR="00C466B8" w:rsidRPr="004A02D5">
        <w:rPr>
          <w:rFonts w:asciiTheme="minorHAnsi" w:hAnsiTheme="minorHAnsi" w:cstheme="minorHAnsi"/>
        </w:rPr>
        <w:t>Bhunu</w:t>
      </w:r>
      <w:proofErr w:type="spellEnd"/>
      <w:r w:rsidR="00C466B8" w:rsidRPr="004A02D5">
        <w:rPr>
          <w:rFonts w:asciiTheme="minorHAnsi" w:hAnsiTheme="minorHAnsi" w:cstheme="minorHAnsi"/>
        </w:rPr>
        <w:t xml:space="preserve"> as chair, Justice Samuel </w:t>
      </w:r>
      <w:proofErr w:type="spellStart"/>
      <w:r w:rsidR="00C466B8" w:rsidRPr="004A02D5">
        <w:rPr>
          <w:rFonts w:asciiTheme="minorHAnsi" w:hAnsiTheme="minorHAnsi" w:cstheme="minorHAnsi"/>
        </w:rPr>
        <w:t>Kudya</w:t>
      </w:r>
      <w:proofErr w:type="spellEnd"/>
      <w:r w:rsidR="00C466B8" w:rsidRPr="004A02D5">
        <w:rPr>
          <w:rFonts w:asciiTheme="minorHAnsi" w:hAnsiTheme="minorHAnsi" w:cstheme="minorHAnsi"/>
        </w:rPr>
        <w:t xml:space="preserve"> and Harare lawyer Mr Lloyd </w:t>
      </w:r>
      <w:proofErr w:type="spellStart"/>
      <w:r w:rsidR="00C466B8" w:rsidRPr="004A02D5">
        <w:rPr>
          <w:rFonts w:asciiTheme="minorHAnsi" w:hAnsiTheme="minorHAnsi" w:cstheme="minorHAnsi"/>
        </w:rPr>
        <w:t>Mhishi</w:t>
      </w:r>
      <w:proofErr w:type="spellEnd"/>
      <w:r w:rsidR="00C466B8" w:rsidRPr="004A02D5">
        <w:rPr>
          <w:rFonts w:asciiTheme="minorHAnsi" w:hAnsiTheme="minorHAnsi" w:cstheme="minorHAnsi"/>
        </w:rPr>
        <w:t>.</w:t>
      </w:r>
      <w:r w:rsidR="00781830" w:rsidRPr="004A02D5">
        <w:rPr>
          <w:rFonts w:asciiTheme="minorHAnsi" w:hAnsiTheme="minorHAnsi" w:cstheme="minorHAnsi"/>
        </w:rPr>
        <w:t xml:space="preserve"> </w:t>
      </w:r>
      <w:r w:rsidR="00F4110B" w:rsidRPr="004A02D5">
        <w:rPr>
          <w:rFonts w:asciiTheme="minorHAnsi" w:hAnsiTheme="minorHAnsi" w:cstheme="minorHAnsi"/>
        </w:rPr>
        <w:t xml:space="preserve">The Tribunal was appointed in terms of the then section 110 of the Constitution, 1979. </w:t>
      </w:r>
      <w:r w:rsidR="00781830" w:rsidRPr="004A02D5">
        <w:rPr>
          <w:rFonts w:asciiTheme="minorHAnsi" w:hAnsiTheme="minorHAnsi" w:cstheme="minorHAnsi"/>
        </w:rPr>
        <w:t>The Tribunal found</w:t>
      </w:r>
      <w:r w:rsidR="005E617F" w:rsidRPr="004A02D5">
        <w:rPr>
          <w:rFonts w:asciiTheme="minorHAnsi" w:hAnsiTheme="minorHAnsi" w:cstheme="minorHAnsi"/>
        </w:rPr>
        <w:t xml:space="preserve"> </w:t>
      </w:r>
      <w:proofErr w:type="spellStart"/>
      <w:r w:rsidR="005E617F" w:rsidRPr="004A02D5">
        <w:rPr>
          <w:rFonts w:asciiTheme="minorHAnsi" w:hAnsiTheme="minorHAnsi" w:cstheme="minorHAnsi"/>
        </w:rPr>
        <w:t>Gula</w:t>
      </w:r>
      <w:proofErr w:type="spellEnd"/>
      <w:r w:rsidR="005E617F" w:rsidRPr="004A02D5">
        <w:rPr>
          <w:rFonts w:asciiTheme="minorHAnsi" w:hAnsiTheme="minorHAnsi" w:cstheme="minorHAnsi"/>
        </w:rPr>
        <w:t>-Ndebele</w:t>
      </w:r>
      <w:r w:rsidR="00781830" w:rsidRPr="004A02D5">
        <w:rPr>
          <w:rFonts w:asciiTheme="minorHAnsi" w:hAnsiTheme="minorHAnsi" w:cstheme="minorHAnsi"/>
        </w:rPr>
        <w:t xml:space="preserve"> guilty of failing to properly discharge his duties, and </w:t>
      </w:r>
      <w:r w:rsidR="005E617F" w:rsidRPr="004A02D5">
        <w:rPr>
          <w:rFonts w:asciiTheme="minorHAnsi" w:hAnsiTheme="minorHAnsi" w:cstheme="minorHAnsi"/>
        </w:rPr>
        <w:t>recommended</w:t>
      </w:r>
      <w:r w:rsidR="00781830" w:rsidRPr="004A02D5">
        <w:rPr>
          <w:rFonts w:asciiTheme="minorHAnsi" w:hAnsiTheme="minorHAnsi" w:cstheme="minorHAnsi"/>
        </w:rPr>
        <w:t xml:space="preserve"> his removal. The President obliged and removed him from office in May 2008. </w:t>
      </w:r>
    </w:p>
    <w:p w:rsidR="009C3A43" w:rsidRPr="004A02D5" w:rsidRDefault="009C3A43" w:rsidP="004A02D5">
      <w:pPr>
        <w:pStyle w:val="NormalWeb"/>
        <w:shd w:val="clear" w:color="auto" w:fill="FFFFFF"/>
        <w:spacing w:before="0" w:beforeAutospacing="0" w:after="225" w:afterAutospacing="0" w:line="276" w:lineRule="auto"/>
        <w:jc w:val="both"/>
        <w:textAlignment w:val="baseline"/>
        <w:rPr>
          <w:rFonts w:asciiTheme="minorHAnsi" w:hAnsiTheme="minorHAnsi" w:cstheme="minorHAnsi"/>
        </w:rPr>
      </w:pPr>
      <w:r w:rsidRPr="004A02D5">
        <w:rPr>
          <w:rFonts w:asciiTheme="minorHAnsi" w:hAnsiTheme="minorHAnsi" w:cstheme="minorHAnsi"/>
        </w:rPr>
        <w:t xml:space="preserve">Mr </w:t>
      </w:r>
      <w:proofErr w:type="spellStart"/>
      <w:r w:rsidRPr="004A02D5">
        <w:rPr>
          <w:rFonts w:asciiTheme="minorHAnsi" w:hAnsiTheme="minorHAnsi" w:cstheme="minorHAnsi"/>
        </w:rPr>
        <w:t>Gula</w:t>
      </w:r>
      <w:proofErr w:type="spellEnd"/>
      <w:r w:rsidRPr="004A02D5">
        <w:rPr>
          <w:rFonts w:asciiTheme="minorHAnsi" w:hAnsiTheme="minorHAnsi" w:cstheme="minorHAnsi"/>
        </w:rPr>
        <w:t xml:space="preserve"> Ndebele </w:t>
      </w:r>
      <w:r w:rsidR="005F4AF6" w:rsidRPr="004A02D5">
        <w:rPr>
          <w:rFonts w:asciiTheme="minorHAnsi" w:hAnsiTheme="minorHAnsi" w:cstheme="minorHAnsi"/>
        </w:rPr>
        <w:t>subsequently</w:t>
      </w:r>
      <w:r w:rsidRPr="004A02D5">
        <w:rPr>
          <w:rFonts w:asciiTheme="minorHAnsi" w:hAnsiTheme="minorHAnsi" w:cstheme="minorHAnsi"/>
        </w:rPr>
        <w:t xml:space="preserve"> lost his challenge before the courts</w:t>
      </w:r>
      <w:r w:rsidR="004926F4" w:rsidRPr="004A02D5">
        <w:rPr>
          <w:rFonts w:asciiTheme="minorHAnsi" w:hAnsiTheme="minorHAnsi" w:cstheme="minorHAnsi"/>
        </w:rPr>
        <w:t xml:space="preserve"> (High Court and Supreme Court)</w:t>
      </w:r>
      <w:r w:rsidR="00F4110B" w:rsidRPr="004A02D5">
        <w:rPr>
          <w:rFonts w:asciiTheme="minorHAnsi" w:hAnsiTheme="minorHAnsi" w:cstheme="minorHAnsi"/>
        </w:rPr>
        <w:t>, asking the court to set aside the tribunal’s recommendation on the grounds of gross unreasonableness.</w:t>
      </w:r>
      <w:r w:rsidRPr="004A02D5">
        <w:rPr>
          <w:rFonts w:asciiTheme="minorHAnsi" w:hAnsiTheme="minorHAnsi" w:cstheme="minorHAnsi"/>
        </w:rPr>
        <w:t xml:space="preserve"> He </w:t>
      </w:r>
      <w:r w:rsidR="005E617F" w:rsidRPr="004A02D5">
        <w:rPr>
          <w:rFonts w:asciiTheme="minorHAnsi" w:hAnsiTheme="minorHAnsi" w:cstheme="minorHAnsi"/>
        </w:rPr>
        <w:t>had</w:t>
      </w:r>
      <w:r w:rsidR="00F4110B" w:rsidRPr="004A02D5">
        <w:rPr>
          <w:rFonts w:asciiTheme="minorHAnsi" w:hAnsiTheme="minorHAnsi" w:cstheme="minorHAnsi"/>
        </w:rPr>
        <w:t xml:space="preserve"> challeng</w:t>
      </w:r>
      <w:r w:rsidR="005E617F" w:rsidRPr="004A02D5">
        <w:rPr>
          <w:rFonts w:asciiTheme="minorHAnsi" w:hAnsiTheme="minorHAnsi" w:cstheme="minorHAnsi"/>
        </w:rPr>
        <w:t>ed</w:t>
      </w:r>
      <w:r w:rsidR="00F4110B" w:rsidRPr="004A02D5">
        <w:rPr>
          <w:rFonts w:asciiTheme="minorHAnsi" w:hAnsiTheme="minorHAnsi" w:cstheme="minorHAnsi"/>
        </w:rPr>
        <w:t xml:space="preserve"> the </w:t>
      </w:r>
      <w:r w:rsidR="005E617F" w:rsidRPr="004A02D5">
        <w:rPr>
          <w:rFonts w:asciiTheme="minorHAnsi" w:hAnsiTheme="minorHAnsi" w:cstheme="minorHAnsi"/>
        </w:rPr>
        <w:t>manner in which he was removed.</w:t>
      </w:r>
    </w:p>
    <w:p w:rsidR="00D00111" w:rsidRPr="004A02D5" w:rsidRDefault="00D00111" w:rsidP="004A02D5">
      <w:pPr>
        <w:spacing w:line="276" w:lineRule="auto"/>
        <w:jc w:val="both"/>
        <w:rPr>
          <w:rFonts w:cstheme="minorHAnsi"/>
          <w:b/>
          <w:sz w:val="24"/>
          <w:szCs w:val="24"/>
        </w:rPr>
      </w:pPr>
    </w:p>
    <w:p w:rsidR="00330C0B" w:rsidRPr="004A02D5" w:rsidRDefault="00014789" w:rsidP="004A02D5">
      <w:pPr>
        <w:spacing w:line="276" w:lineRule="auto"/>
        <w:jc w:val="both"/>
        <w:rPr>
          <w:rFonts w:cstheme="minorHAnsi"/>
          <w:b/>
          <w:i/>
          <w:sz w:val="24"/>
          <w:szCs w:val="24"/>
        </w:rPr>
      </w:pPr>
      <w:r>
        <w:rPr>
          <w:rFonts w:cstheme="minorHAnsi"/>
          <w:b/>
          <w:i/>
          <w:sz w:val="24"/>
          <w:szCs w:val="24"/>
        </w:rPr>
        <w:t xml:space="preserve">b. </w:t>
      </w:r>
      <w:r w:rsidR="00D00111" w:rsidRPr="004A02D5">
        <w:rPr>
          <w:rFonts w:cstheme="minorHAnsi"/>
          <w:b/>
          <w:i/>
          <w:sz w:val="24"/>
          <w:szCs w:val="24"/>
        </w:rPr>
        <w:t xml:space="preserve">How was Johannes </w:t>
      </w:r>
      <w:proofErr w:type="spellStart"/>
      <w:r w:rsidR="00D00111" w:rsidRPr="004A02D5">
        <w:rPr>
          <w:rFonts w:cstheme="minorHAnsi"/>
          <w:b/>
          <w:i/>
          <w:sz w:val="24"/>
          <w:szCs w:val="24"/>
        </w:rPr>
        <w:t>Tomana</w:t>
      </w:r>
      <w:proofErr w:type="spellEnd"/>
      <w:r w:rsidR="00D00111" w:rsidRPr="004A02D5">
        <w:rPr>
          <w:rFonts w:cstheme="minorHAnsi"/>
          <w:b/>
          <w:i/>
          <w:sz w:val="24"/>
          <w:szCs w:val="24"/>
        </w:rPr>
        <w:t xml:space="preserve"> Removed?</w:t>
      </w:r>
    </w:p>
    <w:p w:rsidR="006D2DFE" w:rsidRPr="004A02D5" w:rsidRDefault="00521ED0" w:rsidP="004A02D5">
      <w:pPr>
        <w:spacing w:line="276" w:lineRule="auto"/>
        <w:jc w:val="both"/>
        <w:rPr>
          <w:rFonts w:cstheme="minorHAnsi"/>
          <w:sz w:val="24"/>
          <w:szCs w:val="24"/>
          <w:shd w:val="clear" w:color="auto" w:fill="FFFFFF"/>
        </w:rPr>
      </w:pPr>
      <w:r w:rsidRPr="004A02D5">
        <w:rPr>
          <w:rFonts w:cstheme="minorHAnsi"/>
          <w:sz w:val="24"/>
          <w:szCs w:val="24"/>
        </w:rPr>
        <w:t xml:space="preserve">Johannes </w:t>
      </w:r>
      <w:proofErr w:type="spellStart"/>
      <w:r w:rsidRPr="004A02D5">
        <w:rPr>
          <w:rFonts w:cstheme="minorHAnsi"/>
          <w:sz w:val="24"/>
          <w:szCs w:val="24"/>
        </w:rPr>
        <w:t>Tomana</w:t>
      </w:r>
      <w:proofErr w:type="spellEnd"/>
      <w:r w:rsidRPr="004A02D5">
        <w:rPr>
          <w:rFonts w:cstheme="minorHAnsi"/>
          <w:sz w:val="24"/>
          <w:szCs w:val="24"/>
        </w:rPr>
        <w:t xml:space="preserve"> w</w:t>
      </w:r>
      <w:r w:rsidR="003625B5" w:rsidRPr="004A02D5">
        <w:rPr>
          <w:rFonts w:cstheme="minorHAnsi"/>
          <w:sz w:val="24"/>
          <w:szCs w:val="24"/>
        </w:rPr>
        <w:t xml:space="preserve">as removed from office through </w:t>
      </w:r>
      <w:r w:rsidR="00A82FE3" w:rsidRPr="004A02D5">
        <w:rPr>
          <w:rFonts w:cstheme="minorHAnsi"/>
          <w:sz w:val="24"/>
          <w:szCs w:val="24"/>
          <w:shd w:val="clear" w:color="auto" w:fill="FFFFFF"/>
        </w:rPr>
        <w:t>General Notice 292 of 2017 published in the Government Gazette</w:t>
      </w:r>
      <w:r w:rsidR="00366244" w:rsidRPr="004A02D5">
        <w:rPr>
          <w:rFonts w:cstheme="minorHAnsi"/>
          <w:sz w:val="24"/>
          <w:szCs w:val="24"/>
        </w:rPr>
        <w:t xml:space="preserve"> o</w:t>
      </w:r>
      <w:r w:rsidR="003625B5" w:rsidRPr="004A02D5">
        <w:rPr>
          <w:rFonts w:cstheme="minorHAnsi"/>
          <w:sz w:val="24"/>
          <w:szCs w:val="24"/>
        </w:rPr>
        <w:t xml:space="preserve">n </w:t>
      </w:r>
      <w:r w:rsidR="00366244" w:rsidRPr="004A02D5">
        <w:rPr>
          <w:rFonts w:cstheme="minorHAnsi"/>
          <w:sz w:val="24"/>
          <w:szCs w:val="24"/>
        </w:rPr>
        <w:t xml:space="preserve">9 </w:t>
      </w:r>
      <w:r w:rsidR="003625B5" w:rsidRPr="004A02D5">
        <w:rPr>
          <w:rFonts w:cstheme="minorHAnsi"/>
          <w:sz w:val="24"/>
          <w:szCs w:val="24"/>
        </w:rPr>
        <w:t>June 2017</w:t>
      </w:r>
      <w:r w:rsidR="00D300B9" w:rsidRPr="004A02D5">
        <w:rPr>
          <w:rFonts w:cstheme="minorHAnsi"/>
          <w:sz w:val="24"/>
          <w:szCs w:val="24"/>
        </w:rPr>
        <w:t>.</w:t>
      </w:r>
      <w:r w:rsidR="00D300B9" w:rsidRPr="004A02D5">
        <w:rPr>
          <w:rFonts w:cstheme="minorHAnsi"/>
          <w:sz w:val="24"/>
          <w:szCs w:val="24"/>
          <w:shd w:val="clear" w:color="auto" w:fill="FFFFFF"/>
        </w:rPr>
        <w:t xml:space="preserve"> </w:t>
      </w:r>
      <w:r w:rsidR="006D2DFE" w:rsidRPr="004A02D5">
        <w:rPr>
          <w:rFonts w:cstheme="minorHAnsi"/>
          <w:sz w:val="24"/>
          <w:szCs w:val="24"/>
          <w:shd w:val="clear" w:color="auto" w:fill="FFFFFF"/>
        </w:rPr>
        <w:t xml:space="preserve">The General Notice was signed by Mrs. Virginia </w:t>
      </w:r>
      <w:proofErr w:type="spellStart"/>
      <w:r w:rsidR="006D2DFE" w:rsidRPr="004A02D5">
        <w:rPr>
          <w:rFonts w:cstheme="minorHAnsi"/>
          <w:sz w:val="24"/>
          <w:szCs w:val="24"/>
          <w:shd w:val="clear" w:color="auto" w:fill="FFFFFF"/>
        </w:rPr>
        <w:t>Mabiza</w:t>
      </w:r>
      <w:proofErr w:type="spellEnd"/>
      <w:r w:rsidR="006D2DFE" w:rsidRPr="004A02D5">
        <w:rPr>
          <w:rFonts w:cstheme="minorHAnsi"/>
          <w:sz w:val="24"/>
          <w:szCs w:val="24"/>
          <w:shd w:val="clear" w:color="auto" w:fill="FFFFFF"/>
        </w:rPr>
        <w:t>, secretary for Justice, Legal and Parliamentary Affairs and read:</w:t>
      </w:r>
    </w:p>
    <w:p w:rsidR="003625B5" w:rsidRPr="004A02D5" w:rsidRDefault="00D300B9" w:rsidP="004A02D5">
      <w:pPr>
        <w:spacing w:line="276" w:lineRule="auto"/>
        <w:ind w:left="720"/>
        <w:jc w:val="both"/>
        <w:rPr>
          <w:rFonts w:cstheme="minorHAnsi"/>
          <w:sz w:val="24"/>
          <w:szCs w:val="24"/>
          <w:shd w:val="clear" w:color="auto" w:fill="FFFFFF"/>
        </w:rPr>
      </w:pPr>
      <w:r w:rsidRPr="004A02D5">
        <w:rPr>
          <w:rFonts w:cstheme="minorHAnsi"/>
          <w:sz w:val="24"/>
          <w:szCs w:val="24"/>
          <w:shd w:val="clear" w:color="auto" w:fill="FFFFFF"/>
        </w:rPr>
        <w:t>“… In terms of section 187 (8) of the Constitution (of Zimbabwe), the prosecutor general is removed from office with effect from the dat</w:t>
      </w:r>
      <w:r w:rsidR="006D2DFE" w:rsidRPr="004A02D5">
        <w:rPr>
          <w:rFonts w:cstheme="minorHAnsi"/>
          <w:sz w:val="24"/>
          <w:szCs w:val="24"/>
          <w:shd w:val="clear" w:color="auto" w:fill="FFFFFF"/>
        </w:rPr>
        <w:t>e of publication of this notice.</w:t>
      </w:r>
      <w:r w:rsidRPr="004A02D5">
        <w:rPr>
          <w:rFonts w:cstheme="minorHAnsi"/>
          <w:sz w:val="24"/>
          <w:szCs w:val="24"/>
          <w:shd w:val="clear" w:color="auto" w:fill="FFFFFF"/>
        </w:rPr>
        <w:t xml:space="preserve">” </w:t>
      </w:r>
    </w:p>
    <w:p w:rsidR="00941391" w:rsidRPr="004A02D5" w:rsidRDefault="00D300B9" w:rsidP="004A02D5">
      <w:pPr>
        <w:pStyle w:val="NormalWeb"/>
        <w:shd w:val="clear" w:color="auto" w:fill="FFFFFF"/>
        <w:spacing w:before="0" w:beforeAutospacing="0" w:after="360" w:afterAutospacing="0" w:line="276" w:lineRule="auto"/>
        <w:jc w:val="both"/>
        <w:textAlignment w:val="baseline"/>
        <w:rPr>
          <w:rFonts w:asciiTheme="minorHAnsi" w:hAnsiTheme="minorHAnsi" w:cstheme="minorHAnsi"/>
        </w:rPr>
      </w:pPr>
      <w:r w:rsidRPr="004A02D5">
        <w:rPr>
          <w:rFonts w:asciiTheme="minorHAnsi" w:hAnsiTheme="minorHAnsi" w:cstheme="minorHAnsi"/>
        </w:rPr>
        <w:t>This was</w:t>
      </w:r>
      <w:r w:rsidR="004926F4" w:rsidRPr="004A02D5">
        <w:rPr>
          <w:rFonts w:asciiTheme="minorHAnsi" w:hAnsiTheme="minorHAnsi" w:cstheme="minorHAnsi"/>
        </w:rPr>
        <w:t>,</w:t>
      </w:r>
      <w:r w:rsidRPr="004A02D5">
        <w:rPr>
          <w:rFonts w:asciiTheme="minorHAnsi" w:hAnsiTheme="minorHAnsi" w:cstheme="minorHAnsi"/>
        </w:rPr>
        <w:t xml:space="preserve"> </w:t>
      </w:r>
      <w:r w:rsidR="00521ED0" w:rsidRPr="004A02D5">
        <w:rPr>
          <w:rFonts w:asciiTheme="minorHAnsi" w:hAnsiTheme="minorHAnsi" w:cstheme="minorHAnsi"/>
        </w:rPr>
        <w:t>however</w:t>
      </w:r>
      <w:r w:rsidR="004926F4" w:rsidRPr="004A02D5">
        <w:rPr>
          <w:rFonts w:asciiTheme="minorHAnsi" w:hAnsiTheme="minorHAnsi" w:cstheme="minorHAnsi"/>
        </w:rPr>
        <w:t>,</w:t>
      </w:r>
      <w:r w:rsidRPr="004A02D5">
        <w:rPr>
          <w:rFonts w:asciiTheme="minorHAnsi" w:hAnsiTheme="minorHAnsi" w:cstheme="minorHAnsi"/>
        </w:rPr>
        <w:t xml:space="preserve"> a last step following a period of suspension and enquiry.</w:t>
      </w:r>
      <w:r w:rsidR="00422C6F" w:rsidRPr="004A02D5">
        <w:rPr>
          <w:rFonts w:asciiTheme="minorHAnsi" w:hAnsiTheme="minorHAnsi" w:cstheme="minorHAnsi"/>
        </w:rPr>
        <w:t xml:space="preserve"> </w:t>
      </w:r>
      <w:r w:rsidR="004926F4" w:rsidRPr="004A02D5">
        <w:rPr>
          <w:rFonts w:asciiTheme="minorHAnsi" w:hAnsiTheme="minorHAnsi" w:cstheme="minorHAnsi"/>
        </w:rPr>
        <w:t xml:space="preserve">Mr </w:t>
      </w:r>
      <w:r w:rsidR="00422C6F" w:rsidRPr="004A02D5">
        <w:rPr>
          <w:rFonts w:asciiTheme="minorHAnsi" w:hAnsiTheme="minorHAnsi" w:cstheme="minorHAnsi"/>
        </w:rPr>
        <w:t xml:space="preserve">Tomana was suspended in March 2016. </w:t>
      </w:r>
      <w:r w:rsidR="00545AF2" w:rsidRPr="004A02D5">
        <w:rPr>
          <w:rFonts w:asciiTheme="minorHAnsi" w:hAnsiTheme="minorHAnsi" w:cstheme="minorHAnsi"/>
          <w:shd w:val="clear" w:color="auto" w:fill="FFFFFF"/>
        </w:rPr>
        <w:t xml:space="preserve">In May 2016, the Judicial Service Commission made recommendations to the President for the establishment of a tribunal to investigate and assess whether Mr Tomana was still fit to hold his office. </w:t>
      </w:r>
      <w:r w:rsidR="00422C6F" w:rsidRPr="004A02D5">
        <w:rPr>
          <w:rFonts w:asciiTheme="minorHAnsi" w:hAnsiTheme="minorHAnsi" w:cstheme="minorHAnsi"/>
        </w:rPr>
        <w:t>The</w:t>
      </w:r>
      <w:r w:rsidR="00521ED0" w:rsidRPr="004A02D5">
        <w:rPr>
          <w:rFonts w:asciiTheme="minorHAnsi" w:hAnsiTheme="minorHAnsi" w:cstheme="minorHAnsi"/>
        </w:rPr>
        <w:t xml:space="preserve"> President </w:t>
      </w:r>
      <w:r w:rsidR="00422C6F" w:rsidRPr="004A02D5">
        <w:rPr>
          <w:rFonts w:asciiTheme="minorHAnsi" w:hAnsiTheme="minorHAnsi" w:cstheme="minorHAnsi"/>
        </w:rPr>
        <w:t xml:space="preserve">then </w:t>
      </w:r>
      <w:r w:rsidR="001E4278" w:rsidRPr="004A02D5">
        <w:rPr>
          <w:rFonts w:asciiTheme="minorHAnsi" w:hAnsiTheme="minorHAnsi" w:cstheme="minorHAnsi"/>
        </w:rPr>
        <w:t xml:space="preserve">convened a </w:t>
      </w:r>
      <w:r w:rsidR="001E4278" w:rsidRPr="004A02D5">
        <w:rPr>
          <w:rFonts w:asciiTheme="minorHAnsi" w:hAnsiTheme="minorHAnsi" w:cstheme="minorHAnsi"/>
          <w:shd w:val="clear" w:color="auto" w:fill="FFFFFF"/>
        </w:rPr>
        <w:t xml:space="preserve">judicial tribunal </w:t>
      </w:r>
      <w:r w:rsidR="00744509" w:rsidRPr="004A02D5">
        <w:rPr>
          <w:rFonts w:asciiTheme="minorHAnsi" w:hAnsiTheme="minorHAnsi" w:cstheme="minorHAnsi"/>
          <w:shd w:val="clear" w:color="auto" w:fill="FFFFFF"/>
        </w:rPr>
        <w:t xml:space="preserve">in June 2016 </w:t>
      </w:r>
      <w:r w:rsidR="001E4278" w:rsidRPr="004A02D5">
        <w:rPr>
          <w:rFonts w:asciiTheme="minorHAnsi" w:hAnsiTheme="minorHAnsi" w:cstheme="minorHAnsi"/>
          <w:shd w:val="clear" w:color="auto" w:fill="FFFFFF"/>
        </w:rPr>
        <w:t xml:space="preserve">to inquire into </w:t>
      </w:r>
      <w:proofErr w:type="spellStart"/>
      <w:r w:rsidR="001E4278" w:rsidRPr="004A02D5">
        <w:rPr>
          <w:rFonts w:asciiTheme="minorHAnsi" w:hAnsiTheme="minorHAnsi" w:cstheme="minorHAnsi"/>
          <w:shd w:val="clear" w:color="auto" w:fill="FFFFFF"/>
        </w:rPr>
        <w:t>Tomana’s</w:t>
      </w:r>
      <w:proofErr w:type="spellEnd"/>
      <w:r w:rsidR="001E4278" w:rsidRPr="004A02D5">
        <w:rPr>
          <w:rFonts w:asciiTheme="minorHAnsi" w:hAnsiTheme="minorHAnsi" w:cstheme="minorHAnsi"/>
          <w:shd w:val="clear" w:color="auto" w:fill="FFFFFF"/>
        </w:rPr>
        <w:t xml:space="preserve"> fitness and suitability to hold office that was chaired by retired High Court judge</w:t>
      </w:r>
      <w:r w:rsidR="005F4AF6" w:rsidRPr="004A02D5">
        <w:rPr>
          <w:rFonts w:asciiTheme="minorHAnsi" w:hAnsiTheme="minorHAnsi" w:cstheme="minorHAnsi"/>
          <w:shd w:val="clear" w:color="auto" w:fill="FFFFFF"/>
        </w:rPr>
        <w:t>,</w:t>
      </w:r>
      <w:r w:rsidR="001E4278" w:rsidRPr="004A02D5">
        <w:rPr>
          <w:rFonts w:asciiTheme="minorHAnsi" w:hAnsiTheme="minorHAnsi" w:cstheme="minorHAnsi"/>
          <w:shd w:val="clear" w:color="auto" w:fill="FFFFFF"/>
        </w:rPr>
        <w:t xml:space="preserve"> Justice Moses </w:t>
      </w:r>
      <w:proofErr w:type="spellStart"/>
      <w:r w:rsidR="001E4278" w:rsidRPr="004A02D5">
        <w:rPr>
          <w:rFonts w:asciiTheme="minorHAnsi" w:hAnsiTheme="minorHAnsi" w:cstheme="minorHAnsi"/>
          <w:shd w:val="clear" w:color="auto" w:fill="FFFFFF"/>
        </w:rPr>
        <w:t>Chinhengo</w:t>
      </w:r>
      <w:proofErr w:type="spellEnd"/>
      <w:r w:rsidR="001E4278" w:rsidRPr="004A02D5">
        <w:rPr>
          <w:rFonts w:asciiTheme="minorHAnsi" w:hAnsiTheme="minorHAnsi" w:cstheme="minorHAnsi"/>
          <w:shd w:val="clear" w:color="auto" w:fill="FFFFFF"/>
        </w:rPr>
        <w:t>.</w:t>
      </w:r>
      <w:r w:rsidR="00521ED0" w:rsidRPr="004A02D5">
        <w:rPr>
          <w:rFonts w:asciiTheme="minorHAnsi" w:hAnsiTheme="minorHAnsi" w:cstheme="minorHAnsi"/>
        </w:rPr>
        <w:t xml:space="preserve"> </w:t>
      </w:r>
      <w:r w:rsidR="00C36D1E" w:rsidRPr="004A02D5">
        <w:rPr>
          <w:rFonts w:asciiTheme="minorHAnsi" w:hAnsiTheme="minorHAnsi" w:cstheme="minorHAnsi"/>
          <w:shd w:val="clear" w:color="auto" w:fill="FFFFFF"/>
        </w:rPr>
        <w:t xml:space="preserve">The tribunal’s other members were University of Zimbabwe Dean of Law Emmanuel </w:t>
      </w:r>
      <w:proofErr w:type="spellStart"/>
      <w:r w:rsidR="00C36D1E" w:rsidRPr="004A02D5">
        <w:rPr>
          <w:rFonts w:asciiTheme="minorHAnsi" w:hAnsiTheme="minorHAnsi" w:cstheme="minorHAnsi"/>
          <w:shd w:val="clear" w:color="auto" w:fill="FFFFFF"/>
        </w:rPr>
        <w:t>Magade</w:t>
      </w:r>
      <w:proofErr w:type="spellEnd"/>
      <w:r w:rsidR="00C36D1E" w:rsidRPr="004A02D5">
        <w:rPr>
          <w:rFonts w:asciiTheme="minorHAnsi" w:hAnsiTheme="minorHAnsi" w:cstheme="minorHAnsi"/>
          <w:shd w:val="clear" w:color="auto" w:fill="FFFFFF"/>
        </w:rPr>
        <w:t xml:space="preserve"> and </w:t>
      </w:r>
      <w:r w:rsidR="000B4D5F" w:rsidRPr="004A02D5">
        <w:rPr>
          <w:rFonts w:asciiTheme="minorHAnsi" w:hAnsiTheme="minorHAnsi" w:cstheme="minorHAnsi"/>
          <w:shd w:val="clear" w:color="auto" w:fill="FFFFFF"/>
        </w:rPr>
        <w:t>Harare l</w:t>
      </w:r>
      <w:r w:rsidR="00C36D1E" w:rsidRPr="004A02D5">
        <w:rPr>
          <w:rFonts w:asciiTheme="minorHAnsi" w:hAnsiTheme="minorHAnsi" w:cstheme="minorHAnsi"/>
          <w:shd w:val="clear" w:color="auto" w:fill="FFFFFF"/>
        </w:rPr>
        <w:t xml:space="preserve">awyer Melania </w:t>
      </w:r>
      <w:proofErr w:type="spellStart"/>
      <w:r w:rsidR="00C36D1E" w:rsidRPr="004A02D5">
        <w:rPr>
          <w:rFonts w:asciiTheme="minorHAnsi" w:hAnsiTheme="minorHAnsi" w:cstheme="minorHAnsi"/>
          <w:shd w:val="clear" w:color="auto" w:fill="FFFFFF"/>
        </w:rPr>
        <w:t>Matshiya</w:t>
      </w:r>
      <w:proofErr w:type="spellEnd"/>
      <w:r w:rsidR="00C36D1E" w:rsidRPr="004A02D5">
        <w:rPr>
          <w:rFonts w:asciiTheme="minorHAnsi" w:hAnsiTheme="minorHAnsi" w:cstheme="minorHAnsi"/>
          <w:shd w:val="clear" w:color="auto" w:fill="FFFFFF"/>
        </w:rPr>
        <w:t xml:space="preserve">. </w:t>
      </w:r>
      <w:r w:rsidR="00744509" w:rsidRPr="004A02D5">
        <w:rPr>
          <w:rFonts w:asciiTheme="minorHAnsi" w:hAnsiTheme="minorHAnsi" w:cstheme="minorHAnsi"/>
        </w:rPr>
        <w:t xml:space="preserve">The tribunal specifically investigated Mr Tomana on charges of defying </w:t>
      </w:r>
      <w:r w:rsidR="00744509" w:rsidRPr="004A02D5">
        <w:rPr>
          <w:rFonts w:asciiTheme="minorHAnsi" w:hAnsiTheme="minorHAnsi" w:cstheme="minorHAnsi"/>
        </w:rPr>
        <w:lastRenderedPageBreak/>
        <w:t xml:space="preserve">court orders and criminal abuse of office when he withdrew sabotage charges against two military officers who were allegedly caught in a foiled attempt to bomb Mugabe’s </w:t>
      </w:r>
      <w:proofErr w:type="spellStart"/>
      <w:r w:rsidR="00744509" w:rsidRPr="004A02D5">
        <w:rPr>
          <w:rFonts w:asciiTheme="minorHAnsi" w:hAnsiTheme="minorHAnsi" w:cstheme="minorHAnsi"/>
        </w:rPr>
        <w:t>Gushungo</w:t>
      </w:r>
      <w:proofErr w:type="spellEnd"/>
      <w:r w:rsidR="00744509" w:rsidRPr="004A02D5">
        <w:rPr>
          <w:rFonts w:asciiTheme="minorHAnsi" w:hAnsiTheme="minorHAnsi" w:cstheme="minorHAnsi"/>
        </w:rPr>
        <w:t xml:space="preserve"> dairy plant in Mazowe in January </w:t>
      </w:r>
      <w:r w:rsidR="00357AED" w:rsidRPr="004A02D5">
        <w:rPr>
          <w:rFonts w:asciiTheme="minorHAnsi" w:hAnsiTheme="minorHAnsi" w:cstheme="minorHAnsi"/>
        </w:rPr>
        <w:t>2016</w:t>
      </w:r>
      <w:r w:rsidR="00744509" w:rsidRPr="004A02D5">
        <w:rPr>
          <w:rFonts w:asciiTheme="minorHAnsi" w:hAnsiTheme="minorHAnsi" w:cstheme="minorHAnsi"/>
        </w:rPr>
        <w:t>.</w:t>
      </w:r>
      <w:r w:rsidR="00C4261F" w:rsidRPr="004A02D5">
        <w:rPr>
          <w:rFonts w:asciiTheme="minorHAnsi" w:hAnsiTheme="minorHAnsi" w:cstheme="minorHAnsi"/>
        </w:rPr>
        <w:t xml:space="preserve"> </w:t>
      </w:r>
      <w:r w:rsidR="00744509" w:rsidRPr="004A02D5">
        <w:rPr>
          <w:rFonts w:asciiTheme="minorHAnsi" w:hAnsiTheme="minorHAnsi" w:cstheme="minorHAnsi"/>
        </w:rPr>
        <w:t xml:space="preserve">The other charges included failure to prosecute several cases that involved high-profile personalities and failure to issue certificates of private prosecution to </w:t>
      </w:r>
      <w:proofErr w:type="spellStart"/>
      <w:r w:rsidR="00744509" w:rsidRPr="004A02D5">
        <w:rPr>
          <w:rFonts w:asciiTheme="minorHAnsi" w:hAnsiTheme="minorHAnsi" w:cstheme="minorHAnsi"/>
        </w:rPr>
        <w:t>Telecel</w:t>
      </w:r>
      <w:proofErr w:type="spellEnd"/>
      <w:r w:rsidR="00744509" w:rsidRPr="004A02D5">
        <w:rPr>
          <w:rFonts w:asciiTheme="minorHAnsi" w:hAnsiTheme="minorHAnsi" w:cstheme="minorHAnsi"/>
        </w:rPr>
        <w:t xml:space="preserve"> </w:t>
      </w:r>
      <w:r w:rsidR="00357AED" w:rsidRPr="004A02D5">
        <w:rPr>
          <w:rFonts w:asciiTheme="minorHAnsi" w:hAnsiTheme="minorHAnsi" w:cstheme="minorHAnsi"/>
        </w:rPr>
        <w:t xml:space="preserve">Zimbabwe and Francis </w:t>
      </w:r>
      <w:proofErr w:type="spellStart"/>
      <w:r w:rsidR="00357AED" w:rsidRPr="004A02D5">
        <w:rPr>
          <w:rFonts w:asciiTheme="minorHAnsi" w:hAnsiTheme="minorHAnsi" w:cstheme="minorHAnsi"/>
        </w:rPr>
        <w:t>Maramwidze</w:t>
      </w:r>
      <w:proofErr w:type="spellEnd"/>
      <w:r w:rsidR="00357AED" w:rsidRPr="004A02D5">
        <w:rPr>
          <w:rFonts w:asciiTheme="minorHAnsi" w:hAnsiTheme="minorHAnsi" w:cstheme="minorHAnsi"/>
        </w:rPr>
        <w:t xml:space="preserve"> – matters that ended up in an adverse judgment against the Prosecutor General by the Constitutional Court in 2015</w:t>
      </w:r>
      <w:r w:rsidR="004926F4" w:rsidRPr="004A02D5">
        <w:rPr>
          <w:rFonts w:asciiTheme="minorHAnsi" w:hAnsiTheme="minorHAnsi" w:cstheme="minorHAnsi"/>
        </w:rPr>
        <w:t>.</w:t>
      </w:r>
      <w:r w:rsidR="0055577C" w:rsidRPr="004A02D5">
        <w:rPr>
          <w:rStyle w:val="FootnoteReference"/>
          <w:rFonts w:asciiTheme="minorHAnsi" w:hAnsiTheme="minorHAnsi" w:cstheme="minorHAnsi"/>
        </w:rPr>
        <w:footnoteReference w:id="4"/>
      </w:r>
      <w:r w:rsidR="00357AED" w:rsidRPr="004A02D5">
        <w:rPr>
          <w:rFonts w:asciiTheme="minorHAnsi" w:hAnsiTheme="minorHAnsi" w:cstheme="minorHAnsi"/>
        </w:rPr>
        <w:t xml:space="preserve"> </w:t>
      </w:r>
      <w:r w:rsidR="00521ED0" w:rsidRPr="004A02D5">
        <w:rPr>
          <w:rFonts w:asciiTheme="minorHAnsi" w:hAnsiTheme="minorHAnsi" w:cstheme="minorHAnsi"/>
        </w:rPr>
        <w:t xml:space="preserve">The </w:t>
      </w:r>
      <w:r w:rsidR="00825E7A" w:rsidRPr="004A02D5">
        <w:rPr>
          <w:rFonts w:asciiTheme="minorHAnsi" w:hAnsiTheme="minorHAnsi" w:cstheme="minorHAnsi"/>
        </w:rPr>
        <w:t xml:space="preserve">tribunal concluded its </w:t>
      </w:r>
      <w:r w:rsidR="001B5444" w:rsidRPr="004A02D5">
        <w:rPr>
          <w:rFonts w:asciiTheme="minorHAnsi" w:hAnsiTheme="minorHAnsi" w:cstheme="minorHAnsi"/>
        </w:rPr>
        <w:t>work</w:t>
      </w:r>
      <w:r w:rsidR="00825E7A" w:rsidRPr="004A02D5">
        <w:rPr>
          <w:rFonts w:asciiTheme="minorHAnsi" w:hAnsiTheme="minorHAnsi" w:cstheme="minorHAnsi"/>
        </w:rPr>
        <w:t xml:space="preserve"> early 2017 after which </w:t>
      </w:r>
      <w:r w:rsidR="00C4261F" w:rsidRPr="004A02D5">
        <w:rPr>
          <w:rFonts w:asciiTheme="minorHAnsi" w:hAnsiTheme="minorHAnsi" w:cstheme="minorHAnsi"/>
        </w:rPr>
        <w:t>it</w:t>
      </w:r>
      <w:r w:rsidR="00825E7A" w:rsidRPr="004A02D5">
        <w:rPr>
          <w:rFonts w:asciiTheme="minorHAnsi" w:hAnsiTheme="minorHAnsi" w:cstheme="minorHAnsi"/>
        </w:rPr>
        <w:t xml:space="preserve"> forwarded its report to the President</w:t>
      </w:r>
      <w:r w:rsidR="00C4261F" w:rsidRPr="004A02D5">
        <w:rPr>
          <w:rFonts w:asciiTheme="minorHAnsi" w:hAnsiTheme="minorHAnsi" w:cstheme="minorHAnsi"/>
          <w:shd w:val="clear" w:color="auto" w:fill="FFFFFF"/>
        </w:rPr>
        <w:t>.</w:t>
      </w:r>
      <w:r w:rsidR="005E479D" w:rsidRPr="004A02D5">
        <w:rPr>
          <w:rFonts w:asciiTheme="minorHAnsi" w:hAnsiTheme="minorHAnsi" w:cstheme="minorHAnsi"/>
          <w:shd w:val="clear" w:color="auto" w:fill="FFFFFF"/>
        </w:rPr>
        <w:t xml:space="preserve"> The Tribunal heard evidence from at least 23 witnesses. </w:t>
      </w:r>
      <w:r w:rsidR="00C4261F" w:rsidRPr="004A02D5">
        <w:rPr>
          <w:rFonts w:asciiTheme="minorHAnsi" w:hAnsiTheme="minorHAnsi" w:cstheme="minorHAnsi"/>
          <w:shd w:val="clear" w:color="auto" w:fill="FFFFFF"/>
        </w:rPr>
        <w:t>The tribunal found Mr Tomana unfit to hold office and recommended his removal from office</w:t>
      </w:r>
      <w:r w:rsidR="00825E7A" w:rsidRPr="004A02D5">
        <w:rPr>
          <w:rFonts w:asciiTheme="minorHAnsi" w:hAnsiTheme="minorHAnsi" w:cstheme="minorHAnsi"/>
        </w:rPr>
        <w:t xml:space="preserve">. </w:t>
      </w:r>
    </w:p>
    <w:p w:rsidR="00FE08F0" w:rsidRPr="004A02D5" w:rsidRDefault="00DD43C1" w:rsidP="004A02D5">
      <w:pPr>
        <w:spacing w:line="276" w:lineRule="auto"/>
        <w:jc w:val="both"/>
        <w:rPr>
          <w:rFonts w:cstheme="minorHAnsi"/>
          <w:sz w:val="24"/>
          <w:szCs w:val="24"/>
          <w:shd w:val="clear" w:color="auto" w:fill="FFFFFF"/>
        </w:rPr>
      </w:pPr>
      <w:r w:rsidRPr="004A02D5">
        <w:rPr>
          <w:rFonts w:cstheme="minorHAnsi"/>
          <w:sz w:val="24"/>
          <w:szCs w:val="24"/>
        </w:rPr>
        <w:t>The General Notice</w:t>
      </w:r>
      <w:r w:rsidR="00825E7A" w:rsidRPr="004A02D5">
        <w:rPr>
          <w:rFonts w:cstheme="minorHAnsi"/>
          <w:sz w:val="24"/>
          <w:szCs w:val="24"/>
        </w:rPr>
        <w:t xml:space="preserve"> removing the Prosecutor General</w:t>
      </w:r>
      <w:r w:rsidRPr="004A02D5">
        <w:rPr>
          <w:rFonts w:cstheme="minorHAnsi"/>
          <w:sz w:val="24"/>
          <w:szCs w:val="24"/>
        </w:rPr>
        <w:t xml:space="preserve"> made mention that:</w:t>
      </w:r>
      <w:r w:rsidR="00941391" w:rsidRPr="004A02D5">
        <w:rPr>
          <w:rFonts w:cstheme="minorHAnsi"/>
          <w:sz w:val="24"/>
          <w:szCs w:val="24"/>
          <w:shd w:val="clear" w:color="auto" w:fill="FFFFFF"/>
        </w:rPr>
        <w:t xml:space="preserve"> </w:t>
      </w:r>
    </w:p>
    <w:p w:rsidR="00D300B9" w:rsidRPr="004A02D5" w:rsidRDefault="00941391" w:rsidP="004A02D5">
      <w:pPr>
        <w:spacing w:line="276" w:lineRule="auto"/>
        <w:ind w:left="720"/>
        <w:jc w:val="both"/>
        <w:rPr>
          <w:rFonts w:cstheme="minorHAnsi"/>
          <w:sz w:val="24"/>
          <w:szCs w:val="24"/>
        </w:rPr>
      </w:pPr>
      <w:r w:rsidRPr="004A02D5">
        <w:rPr>
          <w:rFonts w:cstheme="minorHAnsi"/>
          <w:sz w:val="24"/>
          <w:szCs w:val="24"/>
          <w:shd w:val="clear" w:color="auto" w:fill="FFFFFF"/>
        </w:rPr>
        <w:t xml:space="preserve">“It is hereby notified that His Excellency the president has received the report of the tribunal appointed under section 187(3) as read with section 259(7) of the Constitution to inquire into the question of removing the prosecutor general Johannes </w:t>
      </w:r>
      <w:proofErr w:type="spellStart"/>
      <w:r w:rsidRPr="004A02D5">
        <w:rPr>
          <w:rFonts w:cstheme="minorHAnsi"/>
          <w:sz w:val="24"/>
          <w:szCs w:val="24"/>
          <w:shd w:val="clear" w:color="auto" w:fill="FFFFFF"/>
        </w:rPr>
        <w:t>Tomana</w:t>
      </w:r>
      <w:proofErr w:type="spellEnd"/>
      <w:r w:rsidRPr="004A02D5">
        <w:rPr>
          <w:rFonts w:cstheme="minorHAnsi"/>
          <w:sz w:val="24"/>
          <w:szCs w:val="24"/>
          <w:shd w:val="clear" w:color="auto" w:fill="FFFFFF"/>
        </w:rPr>
        <w:t>, from office for incompetence and misconduct.</w:t>
      </w:r>
      <w:r w:rsidR="00DD43C1" w:rsidRPr="004A02D5">
        <w:rPr>
          <w:rFonts w:cstheme="minorHAnsi"/>
          <w:sz w:val="24"/>
          <w:szCs w:val="24"/>
        </w:rPr>
        <w:t xml:space="preserve"> </w:t>
      </w:r>
      <w:r w:rsidR="00D300B9" w:rsidRPr="004A02D5">
        <w:rPr>
          <w:rFonts w:cstheme="minorHAnsi"/>
          <w:sz w:val="24"/>
          <w:szCs w:val="24"/>
        </w:rPr>
        <w:t>In that report, the tribunal has advised His Excellency the president that the prosecutor general ought to be removed from office for incompetence.”</w:t>
      </w:r>
    </w:p>
    <w:p w:rsidR="00D300B9" w:rsidRPr="004A02D5" w:rsidRDefault="009F52DC" w:rsidP="004A02D5">
      <w:pPr>
        <w:spacing w:line="276" w:lineRule="auto"/>
        <w:jc w:val="both"/>
        <w:rPr>
          <w:rFonts w:cstheme="minorHAnsi"/>
          <w:b/>
          <w:sz w:val="24"/>
          <w:szCs w:val="24"/>
        </w:rPr>
      </w:pPr>
      <w:r w:rsidRPr="004A02D5">
        <w:rPr>
          <w:rFonts w:cstheme="minorHAnsi"/>
          <w:sz w:val="24"/>
          <w:szCs w:val="24"/>
          <w:shd w:val="clear" w:color="auto" w:fill="FFFFFF"/>
        </w:rPr>
        <w:t>Accordingly, in terms of Section 187(8) of the Constitution, the Prosecutor General was removed from office with effect from the date of publication of the notice, vis, 9 June 2017.</w:t>
      </w:r>
    </w:p>
    <w:p w:rsidR="00330C0B" w:rsidRPr="004A02D5" w:rsidRDefault="00366AF1" w:rsidP="004A02D5">
      <w:pPr>
        <w:spacing w:line="276" w:lineRule="auto"/>
        <w:jc w:val="both"/>
        <w:rPr>
          <w:rFonts w:cstheme="minorHAnsi"/>
          <w:sz w:val="24"/>
          <w:szCs w:val="24"/>
        </w:rPr>
      </w:pPr>
      <w:r w:rsidRPr="004A02D5">
        <w:rPr>
          <w:rFonts w:cstheme="minorHAnsi"/>
          <w:sz w:val="24"/>
          <w:szCs w:val="24"/>
        </w:rPr>
        <w:t xml:space="preserve">We therefore have settled constitutional understanding of how the process of removing a Prosecutor General ought to unfold. </w:t>
      </w:r>
    </w:p>
    <w:p w:rsidR="00366AF1" w:rsidRPr="004A02D5" w:rsidRDefault="00366AF1" w:rsidP="004A02D5">
      <w:pPr>
        <w:spacing w:line="276" w:lineRule="auto"/>
        <w:jc w:val="both"/>
        <w:rPr>
          <w:rFonts w:cstheme="minorHAnsi"/>
          <w:sz w:val="24"/>
          <w:szCs w:val="24"/>
        </w:rPr>
      </w:pPr>
    </w:p>
    <w:p w:rsidR="00330C0B" w:rsidRPr="004A02D5" w:rsidRDefault="00014789" w:rsidP="004A02D5">
      <w:pPr>
        <w:spacing w:line="276" w:lineRule="auto"/>
        <w:jc w:val="both"/>
        <w:rPr>
          <w:rFonts w:cstheme="minorHAnsi"/>
          <w:b/>
          <w:sz w:val="24"/>
          <w:szCs w:val="24"/>
        </w:rPr>
      </w:pPr>
      <w:r>
        <w:rPr>
          <w:rFonts w:cstheme="minorHAnsi"/>
          <w:b/>
          <w:sz w:val="24"/>
          <w:szCs w:val="24"/>
        </w:rPr>
        <w:t xml:space="preserve">4. </w:t>
      </w:r>
      <w:r w:rsidRPr="004A02D5">
        <w:rPr>
          <w:rFonts w:cstheme="minorHAnsi"/>
          <w:b/>
          <w:sz w:val="24"/>
          <w:szCs w:val="24"/>
        </w:rPr>
        <w:t>Analysis</w:t>
      </w:r>
    </w:p>
    <w:p w:rsidR="00F25C2B" w:rsidRPr="004A02D5" w:rsidRDefault="00D77769" w:rsidP="004A02D5">
      <w:pPr>
        <w:spacing w:line="276" w:lineRule="auto"/>
        <w:jc w:val="both"/>
        <w:rPr>
          <w:rFonts w:cstheme="minorHAnsi"/>
          <w:sz w:val="24"/>
          <w:szCs w:val="24"/>
        </w:rPr>
      </w:pPr>
      <w:r w:rsidRPr="004A02D5">
        <w:rPr>
          <w:rFonts w:cstheme="minorHAnsi"/>
          <w:sz w:val="24"/>
          <w:szCs w:val="24"/>
        </w:rPr>
        <w:t>All things being equal, the processes above ought to apply to Mr Goba. There are</w:t>
      </w:r>
      <w:r w:rsidR="00102907" w:rsidRPr="004A02D5">
        <w:rPr>
          <w:rFonts w:cstheme="minorHAnsi"/>
          <w:sz w:val="24"/>
          <w:szCs w:val="24"/>
        </w:rPr>
        <w:t>,</w:t>
      </w:r>
      <w:r w:rsidRPr="004A02D5">
        <w:rPr>
          <w:rFonts w:cstheme="minorHAnsi"/>
          <w:sz w:val="24"/>
          <w:szCs w:val="24"/>
        </w:rPr>
        <w:t xml:space="preserve"> however</w:t>
      </w:r>
      <w:r w:rsidR="00102907" w:rsidRPr="004A02D5">
        <w:rPr>
          <w:rFonts w:cstheme="minorHAnsi"/>
          <w:sz w:val="24"/>
          <w:szCs w:val="24"/>
        </w:rPr>
        <w:t xml:space="preserve">, peculiar circumstances that make Mr Goba’s situation different. </w:t>
      </w:r>
    </w:p>
    <w:p w:rsidR="00330C0B" w:rsidRPr="004A02D5" w:rsidRDefault="00014789" w:rsidP="004A02D5">
      <w:pPr>
        <w:spacing w:line="276" w:lineRule="auto"/>
        <w:jc w:val="both"/>
        <w:rPr>
          <w:rFonts w:cstheme="minorHAnsi"/>
          <w:b/>
          <w:i/>
          <w:sz w:val="24"/>
          <w:szCs w:val="24"/>
        </w:rPr>
      </w:pPr>
      <w:r>
        <w:rPr>
          <w:rFonts w:cstheme="minorHAnsi"/>
          <w:b/>
          <w:i/>
          <w:sz w:val="24"/>
          <w:szCs w:val="24"/>
        </w:rPr>
        <w:t xml:space="preserve">a. </w:t>
      </w:r>
      <w:r w:rsidR="00330C0B" w:rsidRPr="004A02D5">
        <w:rPr>
          <w:rFonts w:cstheme="minorHAnsi"/>
          <w:b/>
          <w:i/>
          <w:sz w:val="24"/>
          <w:szCs w:val="24"/>
        </w:rPr>
        <w:t xml:space="preserve">Was the appointment </w:t>
      </w:r>
      <w:r w:rsidR="00102907" w:rsidRPr="004A02D5">
        <w:rPr>
          <w:rFonts w:cstheme="minorHAnsi"/>
          <w:b/>
          <w:i/>
          <w:sz w:val="24"/>
          <w:szCs w:val="24"/>
        </w:rPr>
        <w:t xml:space="preserve">of Mr Goba </w:t>
      </w:r>
      <w:r w:rsidR="00330C0B" w:rsidRPr="004A02D5">
        <w:rPr>
          <w:rFonts w:cstheme="minorHAnsi"/>
          <w:b/>
          <w:i/>
          <w:sz w:val="24"/>
          <w:szCs w:val="24"/>
        </w:rPr>
        <w:t>above board?</w:t>
      </w:r>
    </w:p>
    <w:p w:rsidR="00EE0BA9" w:rsidRPr="004A02D5" w:rsidRDefault="00357AED" w:rsidP="004A02D5">
      <w:pPr>
        <w:spacing w:line="276" w:lineRule="auto"/>
        <w:jc w:val="both"/>
        <w:rPr>
          <w:rFonts w:cstheme="minorHAnsi"/>
          <w:sz w:val="24"/>
          <w:szCs w:val="24"/>
        </w:rPr>
      </w:pPr>
      <w:r w:rsidRPr="004A02D5">
        <w:rPr>
          <w:rFonts w:cstheme="minorHAnsi"/>
          <w:sz w:val="24"/>
          <w:szCs w:val="24"/>
        </w:rPr>
        <w:t xml:space="preserve">Advocate Ray Goba was appointed in March 2016 to act as Prosecutor General following </w:t>
      </w:r>
      <w:proofErr w:type="spellStart"/>
      <w:r w:rsidRPr="004A02D5">
        <w:rPr>
          <w:rFonts w:cstheme="minorHAnsi"/>
          <w:sz w:val="24"/>
          <w:szCs w:val="24"/>
        </w:rPr>
        <w:t>Tomana’s</w:t>
      </w:r>
      <w:proofErr w:type="spellEnd"/>
      <w:r w:rsidRPr="004A02D5">
        <w:rPr>
          <w:rFonts w:cstheme="minorHAnsi"/>
          <w:sz w:val="24"/>
          <w:szCs w:val="24"/>
        </w:rPr>
        <w:t xml:space="preserve"> suspension and subsequent removal. </w:t>
      </w:r>
      <w:r w:rsidR="001B5444" w:rsidRPr="004A02D5">
        <w:rPr>
          <w:rFonts w:cstheme="minorHAnsi"/>
          <w:sz w:val="24"/>
          <w:szCs w:val="24"/>
        </w:rPr>
        <w:t xml:space="preserve">He was therefore in that office at the time the Extra Ordinary </w:t>
      </w:r>
      <w:r w:rsidR="005F4AF6" w:rsidRPr="004A02D5">
        <w:rPr>
          <w:rFonts w:cstheme="minorHAnsi"/>
          <w:sz w:val="24"/>
          <w:szCs w:val="24"/>
        </w:rPr>
        <w:t>Gazette</w:t>
      </w:r>
      <w:r w:rsidR="001B5444" w:rsidRPr="004A02D5">
        <w:rPr>
          <w:rFonts w:cstheme="minorHAnsi"/>
          <w:sz w:val="24"/>
          <w:szCs w:val="24"/>
        </w:rPr>
        <w:t xml:space="preserve"> of September 2017 announced his substantive appointment. </w:t>
      </w:r>
      <w:r w:rsidR="00EE0BA9" w:rsidRPr="004A02D5">
        <w:rPr>
          <w:rFonts w:cstheme="minorHAnsi"/>
          <w:sz w:val="24"/>
          <w:szCs w:val="24"/>
        </w:rPr>
        <w:t>The question is: was the</w:t>
      </w:r>
      <w:r w:rsidR="001B5444" w:rsidRPr="004A02D5">
        <w:rPr>
          <w:rFonts w:cstheme="minorHAnsi"/>
          <w:sz w:val="24"/>
          <w:szCs w:val="24"/>
        </w:rPr>
        <w:t xml:space="preserve"> </w:t>
      </w:r>
      <w:r w:rsidR="00EE0BA9" w:rsidRPr="004A02D5">
        <w:rPr>
          <w:rFonts w:cstheme="minorHAnsi"/>
          <w:sz w:val="24"/>
          <w:szCs w:val="24"/>
        </w:rPr>
        <w:t xml:space="preserve">public </w:t>
      </w:r>
      <w:r w:rsidR="001B5444" w:rsidRPr="004A02D5">
        <w:rPr>
          <w:rFonts w:cstheme="minorHAnsi"/>
          <w:sz w:val="24"/>
          <w:szCs w:val="24"/>
        </w:rPr>
        <w:t>announcement</w:t>
      </w:r>
      <w:r w:rsidR="00EE0BA9" w:rsidRPr="004A02D5">
        <w:rPr>
          <w:rFonts w:cstheme="minorHAnsi"/>
          <w:sz w:val="24"/>
          <w:szCs w:val="24"/>
        </w:rPr>
        <w:t xml:space="preserve"> via a </w:t>
      </w:r>
      <w:r w:rsidR="00102907" w:rsidRPr="004A02D5">
        <w:rPr>
          <w:rFonts w:cstheme="minorHAnsi"/>
          <w:sz w:val="24"/>
          <w:szCs w:val="24"/>
        </w:rPr>
        <w:t xml:space="preserve">government </w:t>
      </w:r>
      <w:r w:rsidR="00EE0BA9" w:rsidRPr="004A02D5">
        <w:rPr>
          <w:rFonts w:cstheme="minorHAnsi"/>
          <w:sz w:val="24"/>
          <w:szCs w:val="24"/>
        </w:rPr>
        <w:t xml:space="preserve">gazette </w:t>
      </w:r>
      <w:r w:rsidR="001B5444" w:rsidRPr="004A02D5">
        <w:rPr>
          <w:rFonts w:cstheme="minorHAnsi"/>
          <w:sz w:val="24"/>
          <w:szCs w:val="24"/>
        </w:rPr>
        <w:t>sufficient</w:t>
      </w:r>
      <w:r w:rsidR="00EE0BA9" w:rsidRPr="004A02D5">
        <w:rPr>
          <w:rFonts w:cstheme="minorHAnsi"/>
          <w:sz w:val="24"/>
          <w:szCs w:val="24"/>
        </w:rPr>
        <w:t xml:space="preserve"> to make</w:t>
      </w:r>
      <w:r w:rsidR="00102907" w:rsidRPr="004A02D5">
        <w:rPr>
          <w:rFonts w:cstheme="minorHAnsi"/>
          <w:sz w:val="24"/>
          <w:szCs w:val="24"/>
        </w:rPr>
        <w:t xml:space="preserve"> Mr</w:t>
      </w:r>
      <w:r w:rsidR="00EE0BA9" w:rsidRPr="004A02D5">
        <w:rPr>
          <w:rFonts w:cstheme="minorHAnsi"/>
          <w:sz w:val="24"/>
          <w:szCs w:val="24"/>
        </w:rPr>
        <w:t xml:space="preserve"> Goba’s appointment </w:t>
      </w:r>
      <w:r w:rsidR="00102907" w:rsidRPr="004A02D5">
        <w:rPr>
          <w:rFonts w:cstheme="minorHAnsi"/>
          <w:sz w:val="24"/>
          <w:szCs w:val="24"/>
        </w:rPr>
        <w:t xml:space="preserve">constitutionally </w:t>
      </w:r>
      <w:r w:rsidR="00EE0BA9" w:rsidRPr="004A02D5">
        <w:rPr>
          <w:rFonts w:cstheme="minorHAnsi"/>
          <w:sz w:val="24"/>
          <w:szCs w:val="24"/>
        </w:rPr>
        <w:t>substantive and le</w:t>
      </w:r>
      <w:r w:rsidR="00102907" w:rsidRPr="004A02D5">
        <w:rPr>
          <w:rFonts w:cstheme="minorHAnsi"/>
          <w:sz w:val="24"/>
          <w:szCs w:val="24"/>
        </w:rPr>
        <w:t>g</w:t>
      </w:r>
      <w:r w:rsidR="00EE0BA9" w:rsidRPr="004A02D5">
        <w:rPr>
          <w:rFonts w:cstheme="minorHAnsi"/>
          <w:sz w:val="24"/>
          <w:szCs w:val="24"/>
        </w:rPr>
        <w:t xml:space="preserve">ally </w:t>
      </w:r>
      <w:r w:rsidR="001B5444" w:rsidRPr="004A02D5">
        <w:rPr>
          <w:rFonts w:cstheme="minorHAnsi"/>
          <w:sz w:val="24"/>
          <w:szCs w:val="24"/>
        </w:rPr>
        <w:t>binding</w:t>
      </w:r>
      <w:r w:rsidR="00EE0BA9" w:rsidRPr="004A02D5">
        <w:rPr>
          <w:rFonts w:cstheme="minorHAnsi"/>
          <w:sz w:val="24"/>
          <w:szCs w:val="24"/>
        </w:rPr>
        <w:t xml:space="preserve">? </w:t>
      </w:r>
    </w:p>
    <w:p w:rsidR="000640D7" w:rsidRPr="004A02D5" w:rsidRDefault="00581D3E" w:rsidP="004A02D5">
      <w:pPr>
        <w:spacing w:line="276" w:lineRule="auto"/>
        <w:jc w:val="both"/>
        <w:rPr>
          <w:rFonts w:cstheme="minorHAnsi"/>
          <w:sz w:val="24"/>
          <w:szCs w:val="24"/>
        </w:rPr>
      </w:pPr>
      <w:r w:rsidRPr="004A02D5">
        <w:rPr>
          <w:rFonts w:cstheme="minorHAnsi"/>
          <w:sz w:val="24"/>
          <w:szCs w:val="24"/>
        </w:rPr>
        <w:t xml:space="preserve">From the perspective of applications and nominations, public interviews and submission of </w:t>
      </w:r>
      <w:r w:rsidR="00102907" w:rsidRPr="004A02D5">
        <w:rPr>
          <w:rFonts w:cstheme="minorHAnsi"/>
          <w:sz w:val="24"/>
          <w:szCs w:val="24"/>
        </w:rPr>
        <w:t xml:space="preserve">a </w:t>
      </w:r>
      <w:r w:rsidRPr="004A02D5">
        <w:rPr>
          <w:rFonts w:cstheme="minorHAnsi"/>
          <w:sz w:val="24"/>
          <w:szCs w:val="24"/>
        </w:rPr>
        <w:t xml:space="preserve">list to </w:t>
      </w:r>
      <w:r w:rsidR="00102907" w:rsidRPr="004A02D5">
        <w:rPr>
          <w:rFonts w:cstheme="minorHAnsi"/>
          <w:sz w:val="24"/>
          <w:szCs w:val="24"/>
        </w:rPr>
        <w:t xml:space="preserve">the </w:t>
      </w:r>
      <w:r w:rsidRPr="004A02D5">
        <w:rPr>
          <w:rFonts w:cstheme="minorHAnsi"/>
          <w:sz w:val="24"/>
          <w:szCs w:val="24"/>
        </w:rPr>
        <w:t xml:space="preserve">President, there were no irregularities that are known of. To that extend, and as far </w:t>
      </w:r>
      <w:r w:rsidRPr="004A02D5">
        <w:rPr>
          <w:rFonts w:cstheme="minorHAnsi"/>
          <w:sz w:val="24"/>
          <w:szCs w:val="24"/>
        </w:rPr>
        <w:lastRenderedPageBreak/>
        <w:t>as we know, there w</w:t>
      </w:r>
      <w:r w:rsidR="00E459D2" w:rsidRPr="004A02D5">
        <w:rPr>
          <w:rFonts w:cstheme="minorHAnsi"/>
          <w:sz w:val="24"/>
          <w:szCs w:val="24"/>
        </w:rPr>
        <w:t>ere</w:t>
      </w:r>
      <w:r w:rsidRPr="004A02D5">
        <w:rPr>
          <w:rFonts w:cstheme="minorHAnsi"/>
          <w:sz w:val="24"/>
          <w:szCs w:val="24"/>
        </w:rPr>
        <w:t xml:space="preserve"> no irregularit</w:t>
      </w:r>
      <w:r w:rsidR="00E459D2" w:rsidRPr="004A02D5">
        <w:rPr>
          <w:rFonts w:cstheme="minorHAnsi"/>
          <w:sz w:val="24"/>
          <w:szCs w:val="24"/>
        </w:rPr>
        <w:t>ies</w:t>
      </w:r>
      <w:r w:rsidR="005E4190" w:rsidRPr="004A02D5">
        <w:rPr>
          <w:rFonts w:cstheme="minorHAnsi"/>
          <w:sz w:val="24"/>
          <w:szCs w:val="24"/>
        </w:rPr>
        <w:t xml:space="preserve"> </w:t>
      </w:r>
      <w:r w:rsidR="00102907" w:rsidRPr="004A02D5">
        <w:rPr>
          <w:rFonts w:cstheme="minorHAnsi"/>
          <w:sz w:val="24"/>
          <w:szCs w:val="24"/>
        </w:rPr>
        <w:t>in the actual appointment</w:t>
      </w:r>
      <w:r w:rsidRPr="004A02D5">
        <w:rPr>
          <w:rFonts w:cstheme="minorHAnsi"/>
          <w:sz w:val="24"/>
          <w:szCs w:val="24"/>
        </w:rPr>
        <w:t xml:space="preserve">. What this means is that the appointment itself, was above board. </w:t>
      </w:r>
      <w:r w:rsidR="00AA77FE">
        <w:rPr>
          <w:rFonts w:cstheme="minorHAnsi"/>
          <w:sz w:val="24"/>
          <w:szCs w:val="24"/>
        </w:rPr>
        <w:t xml:space="preserve">This is independent of the fact that enquiries were raised regarding Mr </w:t>
      </w:r>
      <w:proofErr w:type="spellStart"/>
      <w:r w:rsidR="00AA77FE">
        <w:rPr>
          <w:rFonts w:cstheme="minorHAnsi"/>
          <w:sz w:val="24"/>
          <w:szCs w:val="24"/>
        </w:rPr>
        <w:t>Goba’s</w:t>
      </w:r>
      <w:proofErr w:type="spellEnd"/>
      <w:r w:rsidR="00AA77FE">
        <w:rPr>
          <w:rFonts w:cstheme="minorHAnsi"/>
          <w:sz w:val="24"/>
          <w:szCs w:val="24"/>
        </w:rPr>
        <w:t xml:space="preserve"> suitability as he has a standing criminal conviction in the Republic of Namibia. </w:t>
      </w:r>
      <w:r w:rsidR="00742BAA">
        <w:rPr>
          <w:rFonts w:cstheme="minorHAnsi"/>
          <w:sz w:val="24"/>
          <w:szCs w:val="24"/>
        </w:rPr>
        <w:t xml:space="preserve">That is a separate legal challenge, if anyone is interested, but with the recent rescission, the issue has been overtaken by events. </w:t>
      </w:r>
    </w:p>
    <w:p w:rsidR="00330C0B" w:rsidRPr="004A02D5" w:rsidRDefault="00014789" w:rsidP="004A02D5">
      <w:pPr>
        <w:spacing w:line="276" w:lineRule="auto"/>
        <w:jc w:val="both"/>
        <w:rPr>
          <w:rFonts w:cstheme="minorHAnsi"/>
          <w:b/>
          <w:i/>
          <w:sz w:val="24"/>
          <w:szCs w:val="24"/>
        </w:rPr>
      </w:pPr>
      <w:r>
        <w:rPr>
          <w:rFonts w:cstheme="minorHAnsi"/>
          <w:b/>
          <w:i/>
          <w:sz w:val="24"/>
          <w:szCs w:val="24"/>
        </w:rPr>
        <w:t xml:space="preserve">b. </w:t>
      </w:r>
      <w:r w:rsidR="00330C0B" w:rsidRPr="004A02D5">
        <w:rPr>
          <w:rFonts w:cstheme="minorHAnsi"/>
          <w:b/>
          <w:i/>
          <w:sz w:val="24"/>
          <w:szCs w:val="24"/>
        </w:rPr>
        <w:t xml:space="preserve">Implications of </w:t>
      </w:r>
      <w:r w:rsidR="00966243" w:rsidRPr="004A02D5">
        <w:rPr>
          <w:rFonts w:cstheme="minorHAnsi"/>
          <w:b/>
          <w:i/>
          <w:sz w:val="24"/>
          <w:szCs w:val="24"/>
        </w:rPr>
        <w:t>not taking oath of office</w:t>
      </w:r>
    </w:p>
    <w:p w:rsidR="007D602C" w:rsidRDefault="004D50BE" w:rsidP="004A02D5">
      <w:pPr>
        <w:spacing w:line="276" w:lineRule="auto"/>
        <w:jc w:val="both"/>
        <w:rPr>
          <w:rFonts w:cstheme="minorHAnsi"/>
          <w:sz w:val="24"/>
          <w:szCs w:val="24"/>
        </w:rPr>
      </w:pPr>
      <w:r w:rsidRPr="004A02D5">
        <w:rPr>
          <w:rFonts w:cstheme="minorHAnsi"/>
          <w:sz w:val="24"/>
          <w:szCs w:val="24"/>
        </w:rPr>
        <w:t>The implications of section 259(</w:t>
      </w:r>
      <w:r w:rsidR="00632953" w:rsidRPr="004A02D5">
        <w:rPr>
          <w:rFonts w:cstheme="minorHAnsi"/>
          <w:sz w:val="24"/>
          <w:szCs w:val="24"/>
        </w:rPr>
        <w:t>6</w:t>
      </w:r>
      <w:r w:rsidRPr="004A02D5">
        <w:rPr>
          <w:rFonts w:cstheme="minorHAnsi"/>
          <w:sz w:val="24"/>
          <w:szCs w:val="24"/>
        </w:rPr>
        <w:t xml:space="preserve">) are that if the </w:t>
      </w:r>
      <w:r w:rsidR="00AD14B2" w:rsidRPr="004A02D5">
        <w:rPr>
          <w:rFonts w:cstheme="minorHAnsi"/>
          <w:sz w:val="24"/>
          <w:szCs w:val="24"/>
        </w:rPr>
        <w:t>Prosecutor General ha</w:t>
      </w:r>
      <w:r w:rsidRPr="004A02D5">
        <w:rPr>
          <w:rFonts w:cstheme="minorHAnsi"/>
          <w:sz w:val="24"/>
          <w:szCs w:val="24"/>
        </w:rPr>
        <w:t>s</w:t>
      </w:r>
      <w:r w:rsidR="00AD14B2" w:rsidRPr="004A02D5">
        <w:rPr>
          <w:rFonts w:cstheme="minorHAnsi"/>
          <w:sz w:val="24"/>
          <w:szCs w:val="24"/>
        </w:rPr>
        <w:t xml:space="preserve"> not yet taken</w:t>
      </w:r>
      <w:r w:rsidR="00632953" w:rsidRPr="004A02D5">
        <w:rPr>
          <w:rFonts w:cstheme="minorHAnsi"/>
          <w:sz w:val="24"/>
          <w:szCs w:val="24"/>
        </w:rPr>
        <w:t xml:space="preserve"> his or her oath of</w:t>
      </w:r>
      <w:r w:rsidR="00AD14B2" w:rsidRPr="004A02D5">
        <w:rPr>
          <w:rFonts w:cstheme="minorHAnsi"/>
          <w:sz w:val="24"/>
          <w:szCs w:val="24"/>
        </w:rPr>
        <w:t xml:space="preserve"> office</w:t>
      </w:r>
      <w:r w:rsidRPr="004A02D5">
        <w:rPr>
          <w:rFonts w:cstheme="minorHAnsi"/>
          <w:sz w:val="24"/>
          <w:szCs w:val="24"/>
        </w:rPr>
        <w:t xml:space="preserve">, </w:t>
      </w:r>
      <w:r w:rsidR="00632953" w:rsidRPr="004A02D5">
        <w:rPr>
          <w:rFonts w:cstheme="minorHAnsi"/>
          <w:sz w:val="24"/>
          <w:szCs w:val="24"/>
        </w:rPr>
        <w:t xml:space="preserve">he or </w:t>
      </w:r>
      <w:r w:rsidRPr="004A02D5">
        <w:rPr>
          <w:rFonts w:cstheme="minorHAnsi"/>
          <w:sz w:val="24"/>
          <w:szCs w:val="24"/>
        </w:rPr>
        <w:t xml:space="preserve">she cannot be considered to have taken office. </w:t>
      </w:r>
      <w:r w:rsidR="007A1084" w:rsidRPr="004A02D5">
        <w:rPr>
          <w:rFonts w:cstheme="minorHAnsi"/>
          <w:sz w:val="24"/>
          <w:szCs w:val="24"/>
        </w:rPr>
        <w:t xml:space="preserve">There is no timeline </w:t>
      </w:r>
      <w:r w:rsidR="00581D3E" w:rsidRPr="004A02D5">
        <w:rPr>
          <w:rFonts w:cstheme="minorHAnsi"/>
          <w:sz w:val="24"/>
          <w:szCs w:val="24"/>
        </w:rPr>
        <w:t>within</w:t>
      </w:r>
      <w:r w:rsidR="007A1084" w:rsidRPr="004A02D5">
        <w:rPr>
          <w:rFonts w:cstheme="minorHAnsi"/>
          <w:sz w:val="24"/>
          <w:szCs w:val="24"/>
        </w:rPr>
        <w:t xml:space="preserve"> which the prospective Prosecutor General must take the oath of </w:t>
      </w:r>
      <w:r w:rsidR="00581D3E" w:rsidRPr="004A02D5">
        <w:rPr>
          <w:rFonts w:cstheme="minorHAnsi"/>
          <w:sz w:val="24"/>
          <w:szCs w:val="24"/>
        </w:rPr>
        <w:t>office</w:t>
      </w:r>
      <w:r w:rsidR="007A1084" w:rsidRPr="004A02D5">
        <w:rPr>
          <w:rFonts w:cstheme="minorHAnsi"/>
          <w:sz w:val="24"/>
          <w:szCs w:val="24"/>
        </w:rPr>
        <w:t xml:space="preserve">. </w:t>
      </w:r>
      <w:r w:rsidR="00F22895" w:rsidRPr="004A02D5">
        <w:rPr>
          <w:rFonts w:cstheme="minorHAnsi"/>
          <w:sz w:val="24"/>
          <w:szCs w:val="24"/>
        </w:rPr>
        <w:t xml:space="preserve">This </w:t>
      </w:r>
      <w:r w:rsidR="00632953" w:rsidRPr="004A02D5">
        <w:rPr>
          <w:rFonts w:cstheme="minorHAnsi"/>
          <w:sz w:val="24"/>
          <w:szCs w:val="24"/>
        </w:rPr>
        <w:t xml:space="preserve">constitutional </w:t>
      </w:r>
      <w:r w:rsidR="00F22895" w:rsidRPr="004A02D5">
        <w:rPr>
          <w:rFonts w:cstheme="minorHAnsi"/>
          <w:sz w:val="24"/>
          <w:szCs w:val="24"/>
        </w:rPr>
        <w:t>position</w:t>
      </w:r>
      <w:r w:rsidR="00632953" w:rsidRPr="004A02D5">
        <w:rPr>
          <w:rFonts w:cstheme="minorHAnsi"/>
          <w:sz w:val="24"/>
          <w:szCs w:val="24"/>
        </w:rPr>
        <w:t xml:space="preserve"> </w:t>
      </w:r>
      <w:r w:rsidR="00F22895" w:rsidRPr="004A02D5">
        <w:rPr>
          <w:rFonts w:cstheme="minorHAnsi"/>
          <w:sz w:val="24"/>
          <w:szCs w:val="24"/>
        </w:rPr>
        <w:t xml:space="preserve">stands </w:t>
      </w:r>
      <w:r w:rsidR="00581D3E" w:rsidRPr="004A02D5">
        <w:rPr>
          <w:rFonts w:cstheme="minorHAnsi"/>
          <w:sz w:val="24"/>
          <w:szCs w:val="24"/>
        </w:rPr>
        <w:t>notwithstanding</w:t>
      </w:r>
      <w:r w:rsidR="00F22895" w:rsidRPr="004A02D5">
        <w:rPr>
          <w:rFonts w:cstheme="minorHAnsi"/>
          <w:sz w:val="24"/>
          <w:szCs w:val="24"/>
        </w:rPr>
        <w:t xml:space="preserve"> the </w:t>
      </w:r>
      <w:r w:rsidR="00581D3E" w:rsidRPr="004A02D5">
        <w:rPr>
          <w:rFonts w:cstheme="minorHAnsi"/>
          <w:sz w:val="24"/>
          <w:szCs w:val="24"/>
        </w:rPr>
        <w:t>Extraordinary</w:t>
      </w:r>
      <w:r w:rsidR="00632953" w:rsidRPr="004A02D5">
        <w:rPr>
          <w:rFonts w:cstheme="minorHAnsi"/>
          <w:sz w:val="24"/>
          <w:szCs w:val="24"/>
        </w:rPr>
        <w:t xml:space="preserve"> No</w:t>
      </w:r>
      <w:r w:rsidR="00F22895" w:rsidRPr="004A02D5">
        <w:rPr>
          <w:rFonts w:cstheme="minorHAnsi"/>
          <w:sz w:val="24"/>
          <w:szCs w:val="24"/>
        </w:rPr>
        <w:t xml:space="preserve">tice that announced the </w:t>
      </w:r>
      <w:r w:rsidR="00581D3E" w:rsidRPr="004A02D5">
        <w:rPr>
          <w:rFonts w:cstheme="minorHAnsi"/>
          <w:sz w:val="24"/>
          <w:szCs w:val="24"/>
        </w:rPr>
        <w:t>appointment</w:t>
      </w:r>
      <w:r w:rsidR="00F22895" w:rsidRPr="004A02D5">
        <w:rPr>
          <w:rFonts w:cstheme="minorHAnsi"/>
          <w:sz w:val="24"/>
          <w:szCs w:val="24"/>
        </w:rPr>
        <w:t xml:space="preserve"> of </w:t>
      </w:r>
      <w:r w:rsidR="00632953" w:rsidRPr="004A02D5">
        <w:rPr>
          <w:rFonts w:cstheme="minorHAnsi"/>
          <w:sz w:val="24"/>
          <w:szCs w:val="24"/>
        </w:rPr>
        <w:t xml:space="preserve">Mr </w:t>
      </w:r>
      <w:r w:rsidR="00F22895" w:rsidRPr="004A02D5">
        <w:rPr>
          <w:rFonts w:cstheme="minorHAnsi"/>
          <w:sz w:val="24"/>
          <w:szCs w:val="24"/>
        </w:rPr>
        <w:t>Ray</w:t>
      </w:r>
      <w:r w:rsidR="00632953" w:rsidRPr="004A02D5">
        <w:rPr>
          <w:rFonts w:cstheme="minorHAnsi"/>
          <w:sz w:val="24"/>
          <w:szCs w:val="24"/>
        </w:rPr>
        <w:t>mond</w:t>
      </w:r>
      <w:r w:rsidR="00F22895" w:rsidRPr="004A02D5">
        <w:rPr>
          <w:rFonts w:cstheme="minorHAnsi"/>
          <w:sz w:val="24"/>
          <w:szCs w:val="24"/>
        </w:rPr>
        <w:t xml:space="preserve"> Goba with “immediate effect”</w:t>
      </w:r>
      <w:r w:rsidR="007D2A13" w:rsidRPr="004A02D5">
        <w:rPr>
          <w:rFonts w:cstheme="minorHAnsi"/>
          <w:sz w:val="24"/>
          <w:szCs w:val="24"/>
        </w:rPr>
        <w:t xml:space="preserve">. The position is that announcement of an appointment does not in itself satisfy the constitutional prescriptions and does not override the stipulated requirement to take oath before assuming office. </w:t>
      </w:r>
      <w:r w:rsidR="00F22895" w:rsidRPr="004A02D5">
        <w:rPr>
          <w:rFonts w:cstheme="minorHAnsi"/>
          <w:sz w:val="24"/>
          <w:szCs w:val="24"/>
        </w:rPr>
        <w:t xml:space="preserve">The requirement for an oath of office is a peremptory </w:t>
      </w:r>
      <w:r w:rsidR="002B58DE" w:rsidRPr="004A02D5">
        <w:rPr>
          <w:rFonts w:cstheme="minorHAnsi"/>
          <w:sz w:val="24"/>
          <w:szCs w:val="24"/>
        </w:rPr>
        <w:t>provision.</w:t>
      </w:r>
      <w:r w:rsidR="002B58DE" w:rsidRPr="004A02D5">
        <w:rPr>
          <w:rFonts w:cstheme="minorHAnsi"/>
          <w:sz w:val="24"/>
          <w:szCs w:val="24"/>
        </w:rPr>
        <w:tab/>
      </w:r>
    </w:p>
    <w:p w:rsidR="00F22895" w:rsidRPr="004A02D5" w:rsidRDefault="00F22895" w:rsidP="004A02D5">
      <w:pPr>
        <w:spacing w:line="276" w:lineRule="auto"/>
        <w:jc w:val="both"/>
        <w:rPr>
          <w:rFonts w:cstheme="minorHAnsi"/>
          <w:sz w:val="24"/>
          <w:szCs w:val="24"/>
        </w:rPr>
      </w:pPr>
      <w:r w:rsidRPr="004A02D5">
        <w:rPr>
          <w:rFonts w:cstheme="minorHAnsi"/>
          <w:sz w:val="24"/>
          <w:szCs w:val="24"/>
        </w:rPr>
        <w:br/>
        <w:t>The long accepted posit</w:t>
      </w:r>
      <w:r w:rsidR="00314DAD" w:rsidRPr="004A02D5">
        <w:rPr>
          <w:rFonts w:cstheme="minorHAnsi"/>
          <w:sz w:val="24"/>
          <w:szCs w:val="24"/>
        </w:rPr>
        <w:t>ion at l</w:t>
      </w:r>
      <w:r w:rsidRPr="004A02D5">
        <w:rPr>
          <w:rFonts w:cstheme="minorHAnsi"/>
          <w:sz w:val="24"/>
          <w:szCs w:val="24"/>
        </w:rPr>
        <w:t>aw, is that one cannot forfeit or be removed from that which he has never had.</w:t>
      </w:r>
      <w:r w:rsidRPr="004A02D5">
        <w:rPr>
          <w:rStyle w:val="FootnoteReference"/>
          <w:rFonts w:cstheme="minorHAnsi"/>
          <w:sz w:val="24"/>
          <w:szCs w:val="24"/>
        </w:rPr>
        <w:footnoteReference w:id="5"/>
      </w:r>
      <w:r w:rsidRPr="004A02D5">
        <w:rPr>
          <w:rFonts w:cstheme="minorHAnsi"/>
          <w:sz w:val="24"/>
          <w:szCs w:val="24"/>
        </w:rPr>
        <w:t xml:space="preserve"> One cannot be considered as having </w:t>
      </w:r>
      <w:r w:rsidR="00581D3E" w:rsidRPr="004A02D5">
        <w:rPr>
          <w:rFonts w:cstheme="minorHAnsi"/>
          <w:sz w:val="24"/>
          <w:szCs w:val="24"/>
        </w:rPr>
        <w:t>accepted</w:t>
      </w:r>
      <w:r w:rsidRPr="004A02D5">
        <w:rPr>
          <w:rFonts w:cstheme="minorHAnsi"/>
          <w:sz w:val="24"/>
          <w:szCs w:val="24"/>
        </w:rPr>
        <w:t xml:space="preserve"> </w:t>
      </w:r>
      <w:r w:rsidR="00B74AC4" w:rsidRPr="004A02D5">
        <w:rPr>
          <w:rFonts w:cstheme="minorHAnsi"/>
          <w:sz w:val="24"/>
          <w:szCs w:val="24"/>
        </w:rPr>
        <w:t xml:space="preserve">or taken a post </w:t>
      </w:r>
      <w:r w:rsidRPr="004A02D5">
        <w:rPr>
          <w:rFonts w:cstheme="minorHAnsi"/>
          <w:sz w:val="24"/>
          <w:szCs w:val="24"/>
        </w:rPr>
        <w:t>simply be</w:t>
      </w:r>
      <w:r w:rsidR="00B74AC4" w:rsidRPr="004A02D5">
        <w:rPr>
          <w:rFonts w:cstheme="minorHAnsi"/>
          <w:sz w:val="24"/>
          <w:szCs w:val="24"/>
        </w:rPr>
        <w:t xml:space="preserve">cause their appointment was announced. </w:t>
      </w:r>
      <w:r w:rsidRPr="004A02D5">
        <w:rPr>
          <w:rFonts w:cstheme="minorHAnsi"/>
          <w:sz w:val="24"/>
          <w:szCs w:val="24"/>
        </w:rPr>
        <w:t>In this case, acceptance o</w:t>
      </w:r>
      <w:r w:rsidR="00B74AC4" w:rsidRPr="004A02D5">
        <w:rPr>
          <w:rFonts w:cstheme="minorHAnsi"/>
          <w:sz w:val="24"/>
          <w:szCs w:val="24"/>
        </w:rPr>
        <w:t xml:space="preserve">f office </w:t>
      </w:r>
      <w:r w:rsidRPr="004A02D5">
        <w:rPr>
          <w:rFonts w:cstheme="minorHAnsi"/>
          <w:sz w:val="24"/>
          <w:szCs w:val="24"/>
        </w:rPr>
        <w:t xml:space="preserve">and </w:t>
      </w:r>
      <w:r w:rsidR="00581D3E" w:rsidRPr="004A02D5">
        <w:rPr>
          <w:rFonts w:cstheme="minorHAnsi"/>
          <w:sz w:val="24"/>
          <w:szCs w:val="24"/>
        </w:rPr>
        <w:t>conferment</w:t>
      </w:r>
      <w:r w:rsidRPr="004A02D5">
        <w:rPr>
          <w:rFonts w:cstheme="minorHAnsi"/>
          <w:sz w:val="24"/>
          <w:szCs w:val="24"/>
        </w:rPr>
        <w:t xml:space="preserve"> of responsibilities, are </w:t>
      </w:r>
      <w:r w:rsidR="00581D3E" w:rsidRPr="004A02D5">
        <w:rPr>
          <w:rFonts w:cstheme="minorHAnsi"/>
          <w:sz w:val="24"/>
          <w:szCs w:val="24"/>
        </w:rPr>
        <w:t>incumbent</w:t>
      </w:r>
      <w:r w:rsidRPr="004A02D5">
        <w:rPr>
          <w:rFonts w:cstheme="minorHAnsi"/>
          <w:sz w:val="24"/>
          <w:szCs w:val="24"/>
        </w:rPr>
        <w:t xml:space="preserve"> upon </w:t>
      </w:r>
      <w:r w:rsidR="00B74AC4" w:rsidRPr="004A02D5">
        <w:rPr>
          <w:rFonts w:cstheme="minorHAnsi"/>
          <w:sz w:val="24"/>
          <w:szCs w:val="24"/>
        </w:rPr>
        <w:t>taking the</w:t>
      </w:r>
      <w:r w:rsidRPr="004A02D5">
        <w:rPr>
          <w:rFonts w:cstheme="minorHAnsi"/>
          <w:sz w:val="24"/>
          <w:szCs w:val="24"/>
        </w:rPr>
        <w:t xml:space="preserve"> oath of office being taken. </w:t>
      </w:r>
      <w:r w:rsidR="00195E2A" w:rsidRPr="004A02D5">
        <w:rPr>
          <w:rFonts w:cstheme="minorHAnsi"/>
          <w:sz w:val="24"/>
          <w:szCs w:val="24"/>
        </w:rPr>
        <w:t>This position was clearly articulated b</w:t>
      </w:r>
      <w:r w:rsidR="001F6183" w:rsidRPr="004A02D5">
        <w:rPr>
          <w:rFonts w:cstheme="minorHAnsi"/>
          <w:sz w:val="24"/>
          <w:szCs w:val="24"/>
        </w:rPr>
        <w:t>y the US</w:t>
      </w:r>
      <w:r w:rsidR="00195E2A" w:rsidRPr="004A02D5">
        <w:rPr>
          <w:rFonts w:cstheme="minorHAnsi"/>
          <w:sz w:val="24"/>
          <w:szCs w:val="24"/>
        </w:rPr>
        <w:t xml:space="preserve"> Attorney General in an opinion to a County Prosecuting Attorney</w:t>
      </w:r>
      <w:r w:rsidR="001F6183" w:rsidRPr="004A02D5">
        <w:rPr>
          <w:rFonts w:cstheme="minorHAnsi"/>
          <w:sz w:val="24"/>
          <w:szCs w:val="24"/>
        </w:rPr>
        <w:t>, albeit in the context of a judge</w:t>
      </w:r>
      <w:r w:rsidR="00195E2A" w:rsidRPr="004A02D5">
        <w:rPr>
          <w:rFonts w:cstheme="minorHAnsi"/>
          <w:sz w:val="24"/>
          <w:szCs w:val="24"/>
        </w:rPr>
        <w:t>:</w:t>
      </w:r>
    </w:p>
    <w:p w:rsidR="00195E2A" w:rsidRPr="004A02D5" w:rsidRDefault="00195E2A" w:rsidP="004A02D5">
      <w:pPr>
        <w:spacing w:line="276" w:lineRule="auto"/>
        <w:ind w:left="720"/>
        <w:jc w:val="both"/>
        <w:rPr>
          <w:rFonts w:cstheme="minorHAnsi"/>
          <w:sz w:val="24"/>
          <w:szCs w:val="24"/>
        </w:rPr>
      </w:pPr>
      <w:r w:rsidRPr="004A02D5">
        <w:rPr>
          <w:rFonts w:cstheme="minorHAnsi"/>
          <w:sz w:val="24"/>
          <w:szCs w:val="24"/>
        </w:rPr>
        <w:t>“[W]here a person elected to the office of county judge fails and refuses to take the oath of office as required by Section 1907.09, Revised Code, the office is, under the provision of Section 3.30, Revised Code, to be considered as vacant and such vacancy shall be filled by the governor as provided in Section 13, Article IV, Ohio Constitution”.</w:t>
      </w:r>
      <w:r w:rsidR="00F87C00" w:rsidRPr="004A02D5">
        <w:rPr>
          <w:rStyle w:val="FootnoteReference"/>
          <w:rFonts w:cstheme="minorHAnsi"/>
          <w:sz w:val="24"/>
          <w:szCs w:val="24"/>
        </w:rPr>
        <w:footnoteReference w:id="6"/>
      </w:r>
    </w:p>
    <w:p w:rsidR="006A2C27" w:rsidRPr="004A02D5" w:rsidRDefault="001F6183" w:rsidP="004A02D5">
      <w:pPr>
        <w:spacing w:line="276" w:lineRule="auto"/>
        <w:jc w:val="both"/>
        <w:rPr>
          <w:rFonts w:cstheme="minorHAnsi"/>
          <w:sz w:val="24"/>
          <w:szCs w:val="24"/>
          <w:shd w:val="clear" w:color="auto" w:fill="FFFFFF"/>
        </w:rPr>
      </w:pPr>
      <w:r w:rsidRPr="004A02D5">
        <w:rPr>
          <w:rFonts w:cstheme="minorHAnsi"/>
          <w:sz w:val="24"/>
          <w:szCs w:val="24"/>
          <w:shd w:val="clear" w:color="auto" w:fill="FFFFFF"/>
        </w:rPr>
        <w:t xml:space="preserve">In the present case, Mr Goba did not take the oath of office before the President or his assignee </w:t>
      </w:r>
      <w:r w:rsidR="00AD14B2" w:rsidRPr="004A02D5">
        <w:rPr>
          <w:rFonts w:cstheme="minorHAnsi"/>
          <w:sz w:val="24"/>
          <w:szCs w:val="24"/>
          <w:shd w:val="clear" w:color="auto" w:fill="FFFFFF"/>
        </w:rPr>
        <w:t>in terms of Schedule Three of the Constitution, as read with Section 259</w:t>
      </w:r>
      <w:r w:rsidRPr="004A02D5">
        <w:rPr>
          <w:rFonts w:cstheme="minorHAnsi"/>
          <w:sz w:val="24"/>
          <w:szCs w:val="24"/>
          <w:shd w:val="clear" w:color="auto" w:fill="FFFFFF"/>
        </w:rPr>
        <w:t xml:space="preserve">, for reasons unknown to us. For that reason alone, </w:t>
      </w:r>
      <w:r w:rsidR="00AD14B2" w:rsidRPr="004A02D5">
        <w:rPr>
          <w:rFonts w:cstheme="minorHAnsi"/>
          <w:sz w:val="24"/>
          <w:szCs w:val="24"/>
          <w:shd w:val="clear" w:color="auto" w:fill="FFFFFF"/>
        </w:rPr>
        <w:t>he had not as yet taken the office of Prosecutor</w:t>
      </w:r>
      <w:r w:rsidRPr="004A02D5">
        <w:rPr>
          <w:rFonts w:cstheme="minorHAnsi"/>
          <w:sz w:val="24"/>
          <w:szCs w:val="24"/>
          <w:shd w:val="clear" w:color="auto" w:fill="FFFFFF"/>
        </w:rPr>
        <w:t xml:space="preserve"> General. The </w:t>
      </w:r>
      <w:r w:rsidR="00AD14B2" w:rsidRPr="004A02D5">
        <w:rPr>
          <w:rFonts w:cstheme="minorHAnsi"/>
          <w:sz w:val="24"/>
          <w:szCs w:val="24"/>
          <w:shd w:val="clear" w:color="auto" w:fill="FFFFFF"/>
        </w:rPr>
        <w:t>repealing of the gazette notifying the public of the impending appointment simply means the office of the P</w:t>
      </w:r>
      <w:r w:rsidRPr="004A02D5">
        <w:rPr>
          <w:rFonts w:cstheme="minorHAnsi"/>
          <w:sz w:val="24"/>
          <w:szCs w:val="24"/>
          <w:shd w:val="clear" w:color="auto" w:fill="FFFFFF"/>
        </w:rPr>
        <w:t xml:space="preserve">rosecutor General remains vacant of a substantive appointee. </w:t>
      </w:r>
    </w:p>
    <w:p w:rsidR="002142B2" w:rsidRPr="004A02D5" w:rsidRDefault="00014789" w:rsidP="004A02D5">
      <w:pPr>
        <w:spacing w:line="276" w:lineRule="auto"/>
        <w:jc w:val="both"/>
        <w:rPr>
          <w:rFonts w:cstheme="minorHAnsi"/>
          <w:b/>
          <w:i/>
          <w:sz w:val="24"/>
          <w:szCs w:val="24"/>
          <w:shd w:val="clear" w:color="auto" w:fill="FFFFFF"/>
        </w:rPr>
      </w:pPr>
      <w:r>
        <w:rPr>
          <w:rFonts w:cstheme="minorHAnsi"/>
          <w:b/>
          <w:i/>
          <w:sz w:val="24"/>
          <w:szCs w:val="24"/>
          <w:shd w:val="clear" w:color="auto" w:fill="FFFFFF"/>
        </w:rPr>
        <w:t xml:space="preserve">c. </w:t>
      </w:r>
      <w:r w:rsidR="002142B2" w:rsidRPr="004A02D5">
        <w:rPr>
          <w:rFonts w:cstheme="minorHAnsi"/>
          <w:b/>
          <w:i/>
          <w:sz w:val="24"/>
          <w:szCs w:val="24"/>
          <w:shd w:val="clear" w:color="auto" w:fill="FFFFFF"/>
        </w:rPr>
        <w:t>The de facto officer doctrine</w:t>
      </w:r>
    </w:p>
    <w:p w:rsidR="003B5A9A" w:rsidRPr="004A02D5" w:rsidRDefault="002142B2" w:rsidP="004A02D5">
      <w:pPr>
        <w:spacing w:line="276" w:lineRule="auto"/>
        <w:jc w:val="both"/>
        <w:rPr>
          <w:rFonts w:cstheme="minorHAnsi"/>
          <w:sz w:val="24"/>
          <w:szCs w:val="24"/>
        </w:rPr>
      </w:pPr>
      <w:r w:rsidRPr="004A02D5">
        <w:rPr>
          <w:rFonts w:cstheme="minorHAnsi"/>
          <w:sz w:val="24"/>
          <w:szCs w:val="24"/>
          <w:shd w:val="clear" w:color="auto" w:fill="FFFFFF"/>
        </w:rPr>
        <w:t>There exists in English and common law jurisdictions a doctrine termed the de facto officer doctrine. In the US</w:t>
      </w:r>
      <w:r w:rsidR="006A2C27" w:rsidRPr="004A02D5">
        <w:rPr>
          <w:rFonts w:cstheme="minorHAnsi"/>
          <w:sz w:val="24"/>
          <w:szCs w:val="24"/>
          <w:shd w:val="clear" w:color="auto" w:fill="FFFFFF"/>
        </w:rPr>
        <w:t xml:space="preserve"> </w:t>
      </w:r>
      <w:r w:rsidRPr="004A02D5">
        <w:rPr>
          <w:rFonts w:cstheme="minorHAnsi"/>
          <w:sz w:val="24"/>
          <w:szCs w:val="24"/>
        </w:rPr>
        <w:t>in</w:t>
      </w:r>
      <w:r w:rsidR="006A2C27" w:rsidRPr="004A02D5">
        <w:rPr>
          <w:rFonts w:cstheme="minorHAnsi"/>
          <w:sz w:val="24"/>
          <w:szCs w:val="24"/>
        </w:rPr>
        <w:t> </w:t>
      </w:r>
      <w:proofErr w:type="spellStart"/>
      <w:r w:rsidR="006A2C27" w:rsidRPr="004A02D5">
        <w:rPr>
          <w:rFonts w:cstheme="minorHAnsi"/>
          <w:i/>
          <w:iCs/>
          <w:sz w:val="24"/>
          <w:szCs w:val="24"/>
        </w:rPr>
        <w:t>Furtney</w:t>
      </w:r>
      <w:proofErr w:type="spellEnd"/>
      <w:r w:rsidR="006A2C27" w:rsidRPr="004A02D5">
        <w:rPr>
          <w:rFonts w:cstheme="minorHAnsi"/>
          <w:i/>
          <w:iCs/>
          <w:sz w:val="24"/>
          <w:szCs w:val="24"/>
        </w:rPr>
        <w:t xml:space="preserve"> v. Simsbury Zoning Commission</w:t>
      </w:r>
      <w:r w:rsidR="006A2C27" w:rsidRPr="004A02D5">
        <w:rPr>
          <w:rFonts w:cstheme="minorHAnsi"/>
          <w:sz w:val="24"/>
          <w:szCs w:val="24"/>
        </w:rPr>
        <w:t xml:space="preserve">, 159 Conn. 585, 595-97 (1970), </w:t>
      </w:r>
      <w:r w:rsidR="006A2C27" w:rsidRPr="004A02D5">
        <w:rPr>
          <w:rFonts w:cstheme="minorHAnsi"/>
          <w:sz w:val="24"/>
          <w:szCs w:val="24"/>
        </w:rPr>
        <w:lastRenderedPageBreak/>
        <w:t xml:space="preserve">the Connecticut Supreme Court restated the de facto officer doctrine. Among other circumstances, the Court stated </w:t>
      </w:r>
      <w:r w:rsidRPr="004A02D5">
        <w:rPr>
          <w:rFonts w:cstheme="minorHAnsi"/>
          <w:sz w:val="24"/>
          <w:szCs w:val="24"/>
        </w:rPr>
        <w:t xml:space="preserve">that </w:t>
      </w:r>
      <w:r w:rsidR="006A2C27" w:rsidRPr="004A02D5">
        <w:rPr>
          <w:rFonts w:cstheme="minorHAnsi"/>
          <w:sz w:val="24"/>
          <w:szCs w:val="24"/>
        </w:rPr>
        <w:t xml:space="preserve">an officer not legally holding office by reason of a procedural defect, such as failing to take an oath, may be a de facto officer when there has been a publicly known and valid appointment or election. The practical effect of this rule is that up until the de facto officer's title to office is adjudged insufficient, </w:t>
      </w:r>
      <w:r w:rsidR="006A2C27" w:rsidRPr="004A02D5">
        <w:rPr>
          <w:rFonts w:cstheme="minorHAnsi"/>
          <w:i/>
          <w:sz w:val="24"/>
          <w:szCs w:val="24"/>
        </w:rPr>
        <w:t>all of his or her actions that are not otherwise illegal are valid and binding on third parties and the public</w:t>
      </w:r>
      <w:r w:rsidR="006A2C27" w:rsidRPr="004A02D5">
        <w:rPr>
          <w:rFonts w:cstheme="minorHAnsi"/>
          <w:sz w:val="24"/>
          <w:szCs w:val="24"/>
        </w:rPr>
        <w:t>.</w:t>
      </w:r>
      <w:r w:rsidR="00D9633F" w:rsidRPr="004A02D5">
        <w:rPr>
          <w:rFonts w:cstheme="minorHAnsi"/>
          <w:sz w:val="24"/>
          <w:szCs w:val="24"/>
        </w:rPr>
        <w:t xml:space="preserve"> The practical effect of the doctrine is only to the extent emphasised in the preceding. </w:t>
      </w:r>
    </w:p>
    <w:p w:rsidR="003B5A9A" w:rsidRPr="004A02D5" w:rsidRDefault="003B5A9A" w:rsidP="004A02D5">
      <w:pPr>
        <w:spacing w:line="276" w:lineRule="auto"/>
        <w:jc w:val="both"/>
        <w:rPr>
          <w:rFonts w:cstheme="minorHAnsi"/>
          <w:sz w:val="24"/>
          <w:szCs w:val="24"/>
          <w:shd w:val="clear" w:color="auto" w:fill="FFFFFF"/>
        </w:rPr>
      </w:pPr>
      <w:r w:rsidRPr="004A02D5">
        <w:rPr>
          <w:rFonts w:cstheme="minorHAnsi"/>
          <w:sz w:val="24"/>
          <w:szCs w:val="24"/>
        </w:rPr>
        <w:t>There is a string of cases in common law jurisdictions in which English courts clearly accepted that the de facto officer doctrine could apply in cases in which someone had failed to swear a prescribed oath office.</w:t>
      </w:r>
      <w:r w:rsidRPr="004A02D5">
        <w:rPr>
          <w:rStyle w:val="FootnoteReference"/>
          <w:rFonts w:cstheme="minorHAnsi"/>
          <w:sz w:val="24"/>
          <w:szCs w:val="24"/>
        </w:rPr>
        <w:footnoteReference w:id="7"/>
      </w:r>
    </w:p>
    <w:p w:rsidR="00C31D33" w:rsidRPr="004A02D5" w:rsidRDefault="000C6121" w:rsidP="004A02D5">
      <w:pPr>
        <w:spacing w:line="276" w:lineRule="auto"/>
        <w:jc w:val="both"/>
        <w:rPr>
          <w:rFonts w:cstheme="minorHAnsi"/>
          <w:sz w:val="24"/>
          <w:szCs w:val="24"/>
          <w:shd w:val="clear" w:color="auto" w:fill="FFFFFF"/>
        </w:rPr>
      </w:pPr>
      <w:r w:rsidRPr="004A02D5">
        <w:rPr>
          <w:rFonts w:cstheme="minorHAnsi"/>
          <w:sz w:val="24"/>
          <w:szCs w:val="24"/>
          <w:shd w:val="clear" w:color="auto" w:fill="FFFFFF"/>
        </w:rPr>
        <w:t xml:space="preserve">The Australian position has been articulated as follows: </w:t>
      </w:r>
    </w:p>
    <w:p w:rsidR="006A2C27" w:rsidRPr="004A02D5" w:rsidRDefault="000C6121" w:rsidP="004A02D5">
      <w:pPr>
        <w:spacing w:line="276" w:lineRule="auto"/>
        <w:ind w:left="720"/>
        <w:jc w:val="both"/>
        <w:rPr>
          <w:rFonts w:cstheme="minorHAnsi"/>
          <w:sz w:val="24"/>
          <w:szCs w:val="24"/>
        </w:rPr>
      </w:pPr>
      <w:r w:rsidRPr="004A02D5">
        <w:rPr>
          <w:rFonts w:cstheme="minorHAnsi"/>
          <w:sz w:val="24"/>
          <w:szCs w:val="24"/>
          <w:shd w:val="clear" w:color="auto" w:fill="FFFFFF"/>
        </w:rPr>
        <w:t>“</w:t>
      </w:r>
      <w:r w:rsidRPr="004A02D5">
        <w:rPr>
          <w:rFonts w:cstheme="minorHAnsi"/>
          <w:sz w:val="24"/>
          <w:szCs w:val="24"/>
        </w:rPr>
        <w:t>Where the making of an oath, affirmation or declaration is a condition which must be satisfied before a person can be regarded as the lawful occupant of a public office, and thus entitled to exercise the powers given to occupants of that office, then logically it would seem to follow that no legal force or effect can be accorded to the acts of persons who have presumed to exercise the powers of office without having taken the prescribed oath, affirmation or declaration. But under the common law of England and of legal systems derived from it such acts may be recognised as legally valid by virtue of the de facto officer doctrine. Such acts may be so recognised if they are acts which would have been valid had they been performed by an officer de jure and if the defect in the title of the person who has performed the acts is not readily discoverable by members of the public”.</w:t>
      </w:r>
      <w:r w:rsidRPr="004A02D5">
        <w:rPr>
          <w:rStyle w:val="FootnoteReference"/>
          <w:rFonts w:cstheme="minorHAnsi"/>
          <w:sz w:val="24"/>
          <w:szCs w:val="24"/>
        </w:rPr>
        <w:footnoteReference w:id="8"/>
      </w:r>
    </w:p>
    <w:p w:rsidR="00832C66" w:rsidRPr="004A02D5" w:rsidRDefault="0007655E" w:rsidP="004A02D5">
      <w:pPr>
        <w:spacing w:line="276" w:lineRule="auto"/>
        <w:jc w:val="both"/>
        <w:rPr>
          <w:rFonts w:cstheme="minorHAnsi"/>
          <w:sz w:val="24"/>
          <w:szCs w:val="24"/>
          <w:shd w:val="clear" w:color="auto" w:fill="FFFFFF"/>
        </w:rPr>
      </w:pPr>
      <w:r w:rsidRPr="004A02D5">
        <w:rPr>
          <w:rFonts w:cstheme="minorHAnsi"/>
          <w:sz w:val="24"/>
          <w:szCs w:val="24"/>
        </w:rPr>
        <w:t>In South Africa, which is a closely comparable constitutional jurisdiction, t</w:t>
      </w:r>
      <w:r w:rsidR="00832C66" w:rsidRPr="004A02D5">
        <w:rPr>
          <w:rFonts w:cstheme="minorHAnsi"/>
          <w:sz w:val="24"/>
          <w:szCs w:val="24"/>
        </w:rPr>
        <w:t xml:space="preserve">here are no reported cases that have dealt with the taking of oath of a National Director of Public Prosecutions or a Director of Prosecutions in terms of sections 32(2)(a) and 43(5) of the National Prosecuting Authority Act 32 of 1998, as read with section 179 of the Constitution, 1996.  </w:t>
      </w:r>
    </w:p>
    <w:p w:rsidR="000C6121" w:rsidRPr="004A02D5" w:rsidRDefault="00C31D33" w:rsidP="004A02D5">
      <w:pPr>
        <w:spacing w:line="276" w:lineRule="auto"/>
        <w:jc w:val="both"/>
        <w:rPr>
          <w:rFonts w:cstheme="minorHAnsi"/>
          <w:sz w:val="24"/>
          <w:szCs w:val="24"/>
          <w:shd w:val="clear" w:color="auto" w:fill="FFFFFF"/>
        </w:rPr>
      </w:pPr>
      <w:r w:rsidRPr="004A02D5">
        <w:rPr>
          <w:rFonts w:cstheme="minorHAnsi"/>
          <w:sz w:val="24"/>
          <w:szCs w:val="24"/>
          <w:shd w:val="clear" w:color="auto" w:fill="FFFFFF"/>
        </w:rPr>
        <w:t xml:space="preserve">The meaning of the de facto officer doctrine is that certain actions would not be invalidated because the official was not appointed properly, or did not take office properly. This is only limited to decision, actions or omission of the officer, and not their actual holding of the office – that is, the legality of the appointment itself. In the present case, however, the matter is not the legality of any of Mr Goba’s actions, but rather whether his appointment was consummated as required by the Constitution. To that end, the doctrine does not seem to </w:t>
      </w:r>
      <w:r w:rsidRPr="004A02D5">
        <w:rPr>
          <w:rFonts w:cstheme="minorHAnsi"/>
          <w:sz w:val="24"/>
          <w:szCs w:val="24"/>
          <w:shd w:val="clear" w:color="auto" w:fill="FFFFFF"/>
        </w:rPr>
        <w:lastRenderedPageBreak/>
        <w:t xml:space="preserve">apply to the specific question posed in this brief.  </w:t>
      </w:r>
      <w:r w:rsidR="003D5DD1" w:rsidRPr="004A02D5">
        <w:rPr>
          <w:rFonts w:cstheme="minorHAnsi"/>
          <w:sz w:val="24"/>
          <w:szCs w:val="24"/>
          <w:shd w:val="clear" w:color="auto" w:fill="FFFFFF"/>
        </w:rPr>
        <w:t xml:space="preserve">Should one choose to argue, however, that Mr Goba was now in that office by virtue of his substantive appointment and not his acting appointment, the de facto officer doctrine would apply to the actions he took during that period, and there would be little scope of legal challenge. </w:t>
      </w:r>
    </w:p>
    <w:p w:rsidR="004D1278" w:rsidRPr="004A02D5" w:rsidRDefault="00827379" w:rsidP="004A02D5">
      <w:pPr>
        <w:spacing w:line="276" w:lineRule="auto"/>
        <w:jc w:val="both"/>
        <w:rPr>
          <w:rFonts w:cstheme="minorHAnsi"/>
          <w:sz w:val="24"/>
          <w:szCs w:val="24"/>
        </w:rPr>
      </w:pPr>
      <w:r w:rsidRPr="004A02D5">
        <w:rPr>
          <w:rFonts w:cstheme="minorHAnsi"/>
          <w:sz w:val="24"/>
          <w:szCs w:val="24"/>
          <w:shd w:val="clear" w:color="auto" w:fill="FFFFFF"/>
        </w:rPr>
        <w:t xml:space="preserve">Although Mr Goba was no longer being referred to as “Acting Prosecutor General”, at law he had not yet taken office of substantive Prosecutor General. </w:t>
      </w:r>
      <w:r w:rsidR="004D1278" w:rsidRPr="004A02D5">
        <w:rPr>
          <w:rFonts w:cstheme="minorHAnsi"/>
          <w:sz w:val="24"/>
          <w:szCs w:val="24"/>
        </w:rPr>
        <w:t xml:space="preserve">There was therefore no requirement that he be removed through the constitutional process </w:t>
      </w:r>
      <w:r w:rsidRPr="004A02D5">
        <w:rPr>
          <w:rFonts w:cstheme="minorHAnsi"/>
          <w:sz w:val="24"/>
          <w:szCs w:val="24"/>
        </w:rPr>
        <w:t xml:space="preserve">applicable to the removal of a judge. </w:t>
      </w:r>
      <w:r w:rsidR="004D1278" w:rsidRPr="004A02D5">
        <w:rPr>
          <w:rFonts w:cstheme="minorHAnsi"/>
          <w:sz w:val="24"/>
          <w:szCs w:val="24"/>
        </w:rPr>
        <w:t xml:space="preserve"> </w:t>
      </w:r>
    </w:p>
    <w:p w:rsidR="001B5759" w:rsidRPr="004A02D5" w:rsidRDefault="00014789" w:rsidP="004A02D5">
      <w:pPr>
        <w:spacing w:line="276" w:lineRule="auto"/>
        <w:jc w:val="both"/>
        <w:rPr>
          <w:rFonts w:cstheme="minorHAnsi"/>
          <w:b/>
          <w:i/>
          <w:sz w:val="24"/>
          <w:szCs w:val="24"/>
        </w:rPr>
      </w:pPr>
      <w:r>
        <w:rPr>
          <w:rFonts w:cstheme="minorHAnsi"/>
          <w:b/>
          <w:i/>
          <w:sz w:val="24"/>
          <w:szCs w:val="24"/>
        </w:rPr>
        <w:t xml:space="preserve">d. </w:t>
      </w:r>
      <w:r w:rsidR="001B5759" w:rsidRPr="004A02D5">
        <w:rPr>
          <w:rFonts w:cstheme="minorHAnsi"/>
          <w:b/>
          <w:i/>
          <w:sz w:val="24"/>
          <w:szCs w:val="24"/>
        </w:rPr>
        <w:t>The effect of the oath Mr Goba took before assuming office in an acting capacity</w:t>
      </w:r>
    </w:p>
    <w:p w:rsidR="006503D7" w:rsidRPr="004A02D5" w:rsidRDefault="00581D3E" w:rsidP="004A02D5">
      <w:pPr>
        <w:spacing w:line="276" w:lineRule="auto"/>
        <w:jc w:val="both"/>
        <w:rPr>
          <w:rFonts w:cstheme="minorHAnsi"/>
          <w:sz w:val="24"/>
          <w:szCs w:val="24"/>
        </w:rPr>
      </w:pPr>
      <w:r w:rsidRPr="004A02D5">
        <w:rPr>
          <w:rFonts w:cstheme="minorHAnsi"/>
          <w:sz w:val="24"/>
          <w:szCs w:val="24"/>
        </w:rPr>
        <w:t xml:space="preserve">Ray Goba took oath when he assumed office as acting Prosecutor General. </w:t>
      </w:r>
      <w:r w:rsidR="00E37285" w:rsidRPr="004A02D5">
        <w:rPr>
          <w:rFonts w:cstheme="minorHAnsi"/>
          <w:sz w:val="24"/>
          <w:szCs w:val="24"/>
        </w:rPr>
        <w:t>Although the Oath he took</w:t>
      </w:r>
      <w:r w:rsidRPr="004A02D5">
        <w:rPr>
          <w:rFonts w:cstheme="minorHAnsi"/>
          <w:sz w:val="24"/>
          <w:szCs w:val="24"/>
        </w:rPr>
        <w:t xml:space="preserve"> is the same as that taken by a substantive appointee, the oath he took was for an a</w:t>
      </w:r>
      <w:r w:rsidR="006503D7" w:rsidRPr="004A02D5">
        <w:rPr>
          <w:rFonts w:cstheme="minorHAnsi"/>
          <w:sz w:val="24"/>
          <w:szCs w:val="24"/>
        </w:rPr>
        <w:t>cting capacity.</w:t>
      </w:r>
      <w:r w:rsidR="00F40883" w:rsidRPr="004A02D5">
        <w:rPr>
          <w:rFonts w:cstheme="minorHAnsi"/>
          <w:sz w:val="24"/>
          <w:szCs w:val="24"/>
        </w:rPr>
        <w:t xml:space="preserve"> This does not then mean that he need not take a new oath for a new substantive appointment. One can find parallels. If a judge is being promoted to a higher court, he cannot skip the oath taking on the basis that he was already a judge in a lower court, and had already taken oath. Similarly, i</w:t>
      </w:r>
      <w:r w:rsidR="006503D7" w:rsidRPr="004A02D5">
        <w:rPr>
          <w:rFonts w:cstheme="minorHAnsi"/>
          <w:sz w:val="24"/>
          <w:szCs w:val="24"/>
        </w:rPr>
        <w:t xml:space="preserve">f a Minister </w:t>
      </w:r>
      <w:r w:rsidR="00F40883" w:rsidRPr="004A02D5">
        <w:rPr>
          <w:rFonts w:cstheme="minorHAnsi"/>
          <w:sz w:val="24"/>
          <w:szCs w:val="24"/>
        </w:rPr>
        <w:t xml:space="preserve">is reshuffled from one ministry to another, he cannot skip oath on the basis that he was already a minister and had already taken a ministerial oath. </w:t>
      </w:r>
      <w:r w:rsidR="00E93736" w:rsidRPr="004A02D5">
        <w:rPr>
          <w:rFonts w:cstheme="minorHAnsi"/>
          <w:sz w:val="24"/>
          <w:szCs w:val="24"/>
        </w:rPr>
        <w:t xml:space="preserve">Mr Goba’s acting appointment oath was for exactly that, and cannot be extended to apply to his substantive appointment. </w:t>
      </w:r>
    </w:p>
    <w:p w:rsidR="00330C0B" w:rsidRPr="004A02D5" w:rsidRDefault="00014789" w:rsidP="004A02D5">
      <w:pPr>
        <w:spacing w:line="276" w:lineRule="auto"/>
        <w:jc w:val="both"/>
        <w:rPr>
          <w:rFonts w:cstheme="minorHAnsi"/>
          <w:b/>
          <w:i/>
          <w:sz w:val="24"/>
          <w:szCs w:val="24"/>
        </w:rPr>
      </w:pPr>
      <w:r>
        <w:rPr>
          <w:rFonts w:cstheme="minorHAnsi"/>
          <w:b/>
          <w:i/>
          <w:sz w:val="24"/>
          <w:szCs w:val="24"/>
        </w:rPr>
        <w:t xml:space="preserve">e. </w:t>
      </w:r>
      <w:r w:rsidR="00330C0B" w:rsidRPr="004A02D5">
        <w:rPr>
          <w:rFonts w:cstheme="minorHAnsi"/>
          <w:b/>
          <w:i/>
          <w:sz w:val="24"/>
          <w:szCs w:val="24"/>
        </w:rPr>
        <w:t>Was the re</w:t>
      </w:r>
      <w:r w:rsidR="00C53643" w:rsidRPr="004A02D5">
        <w:rPr>
          <w:rFonts w:cstheme="minorHAnsi"/>
          <w:b/>
          <w:i/>
          <w:sz w:val="24"/>
          <w:szCs w:val="24"/>
        </w:rPr>
        <w:t xml:space="preserve">peal of the September Extra Ordinary Gazette </w:t>
      </w:r>
      <w:r w:rsidR="00330C0B" w:rsidRPr="004A02D5">
        <w:rPr>
          <w:rFonts w:cstheme="minorHAnsi"/>
          <w:b/>
          <w:i/>
          <w:sz w:val="24"/>
          <w:szCs w:val="24"/>
        </w:rPr>
        <w:t>above board?</w:t>
      </w:r>
    </w:p>
    <w:p w:rsidR="00264D90" w:rsidRDefault="00AC75EA" w:rsidP="004A02D5">
      <w:pPr>
        <w:spacing w:line="276" w:lineRule="auto"/>
        <w:jc w:val="both"/>
        <w:rPr>
          <w:rFonts w:cstheme="minorHAnsi"/>
          <w:sz w:val="24"/>
          <w:szCs w:val="24"/>
        </w:rPr>
      </w:pPr>
      <w:r w:rsidRPr="004A02D5">
        <w:rPr>
          <w:rFonts w:cstheme="minorHAnsi"/>
          <w:sz w:val="24"/>
          <w:szCs w:val="24"/>
          <w:shd w:val="clear" w:color="auto" w:fill="FFFFFF"/>
        </w:rPr>
        <w:t xml:space="preserve">The </w:t>
      </w:r>
      <w:r w:rsidR="006F32E1" w:rsidRPr="004A02D5">
        <w:rPr>
          <w:rFonts w:cstheme="minorHAnsi"/>
          <w:sz w:val="24"/>
          <w:szCs w:val="24"/>
          <w:shd w:val="clear" w:color="auto" w:fill="FFFFFF"/>
        </w:rPr>
        <w:t>Extraordinary Government Gazette published on the 27</w:t>
      </w:r>
      <w:r w:rsidR="006F32E1" w:rsidRPr="004A02D5">
        <w:rPr>
          <w:rFonts w:cstheme="minorHAnsi"/>
          <w:sz w:val="24"/>
          <w:szCs w:val="24"/>
          <w:shd w:val="clear" w:color="auto" w:fill="FFFFFF"/>
          <w:vertAlign w:val="superscript"/>
        </w:rPr>
        <w:t>th</w:t>
      </w:r>
      <w:r w:rsidR="006F32E1" w:rsidRPr="004A02D5">
        <w:rPr>
          <w:rFonts w:cstheme="minorHAnsi"/>
          <w:sz w:val="24"/>
          <w:szCs w:val="24"/>
          <w:shd w:val="clear" w:color="auto" w:fill="FFFFFF"/>
        </w:rPr>
        <w:t xml:space="preserve"> of October 2017, General Notice 642 of 2017</w:t>
      </w:r>
      <w:r w:rsidRPr="004A02D5">
        <w:rPr>
          <w:rFonts w:cstheme="minorHAnsi"/>
          <w:sz w:val="24"/>
          <w:szCs w:val="24"/>
          <w:shd w:val="clear" w:color="auto" w:fill="FFFFFF"/>
        </w:rPr>
        <w:t>, titled ‘Constitution of Zimbabwe: Repeal of General Notice 493 of 2017 Concerning the Appointment of Prosecutor General of Zimbabwe’, and which</w:t>
      </w:r>
      <w:r w:rsidR="006F32E1" w:rsidRPr="004A02D5">
        <w:rPr>
          <w:rFonts w:cstheme="minorHAnsi"/>
          <w:sz w:val="24"/>
          <w:szCs w:val="24"/>
          <w:shd w:val="clear" w:color="auto" w:fill="FFFFFF"/>
        </w:rPr>
        <w:t xml:space="preserve"> repealed General Notice 493 of 2017, </w:t>
      </w:r>
      <w:r w:rsidRPr="004A02D5">
        <w:rPr>
          <w:rFonts w:cstheme="minorHAnsi"/>
          <w:sz w:val="24"/>
          <w:szCs w:val="24"/>
          <w:shd w:val="clear" w:color="auto" w:fill="FFFFFF"/>
        </w:rPr>
        <w:t>is technically not a removal of Mr Goba from office. Mr Goba was never in office in his substantive position as announced in the September Extra Ordinary Gazette. Rather, General Notice 642 of 2017 was</w:t>
      </w:r>
      <w:r w:rsidR="00940E1D" w:rsidRPr="004A02D5">
        <w:rPr>
          <w:rFonts w:cstheme="minorHAnsi"/>
          <w:sz w:val="24"/>
          <w:szCs w:val="24"/>
        </w:rPr>
        <w:t xml:space="preserve"> simply a repeal of a</w:t>
      </w:r>
      <w:r w:rsidRPr="004A02D5">
        <w:rPr>
          <w:rFonts w:cstheme="minorHAnsi"/>
          <w:sz w:val="24"/>
          <w:szCs w:val="24"/>
        </w:rPr>
        <w:t>n announcement made that Mr Goba had been appointed as Prosecutor General. While it may be so for other offices, that announcement is not what gives legal effect to the assumption of office of a Prosecutor General.</w:t>
      </w:r>
    </w:p>
    <w:p w:rsidR="00940E1D" w:rsidRPr="004A02D5" w:rsidRDefault="00AC75EA" w:rsidP="004A02D5">
      <w:pPr>
        <w:spacing w:line="276" w:lineRule="auto"/>
        <w:jc w:val="both"/>
        <w:rPr>
          <w:rFonts w:cstheme="minorHAnsi"/>
          <w:sz w:val="24"/>
          <w:szCs w:val="24"/>
        </w:rPr>
      </w:pPr>
      <w:r w:rsidRPr="004A02D5">
        <w:rPr>
          <w:rFonts w:cstheme="minorHAnsi"/>
          <w:sz w:val="24"/>
          <w:szCs w:val="24"/>
        </w:rPr>
        <w:t xml:space="preserve"> </w:t>
      </w:r>
      <w:r w:rsidR="00940E1D" w:rsidRPr="004A02D5">
        <w:rPr>
          <w:rFonts w:cstheme="minorHAnsi"/>
          <w:sz w:val="24"/>
          <w:szCs w:val="24"/>
        </w:rPr>
        <w:t xml:space="preserve"> </w:t>
      </w:r>
    </w:p>
    <w:p w:rsidR="0061360E" w:rsidRPr="004A02D5" w:rsidRDefault="00014789" w:rsidP="004A02D5">
      <w:pPr>
        <w:spacing w:line="276" w:lineRule="auto"/>
        <w:jc w:val="both"/>
        <w:rPr>
          <w:rFonts w:cstheme="minorHAnsi"/>
          <w:b/>
          <w:sz w:val="24"/>
          <w:szCs w:val="24"/>
        </w:rPr>
      </w:pPr>
      <w:r>
        <w:rPr>
          <w:rFonts w:cstheme="minorHAnsi"/>
          <w:b/>
          <w:sz w:val="24"/>
          <w:szCs w:val="24"/>
        </w:rPr>
        <w:t>5. Is Mr G</w:t>
      </w:r>
      <w:r w:rsidRPr="004A02D5">
        <w:rPr>
          <w:rFonts w:cstheme="minorHAnsi"/>
          <w:b/>
          <w:sz w:val="24"/>
          <w:szCs w:val="24"/>
        </w:rPr>
        <w:t>oba entitled to administrative justice?</w:t>
      </w:r>
    </w:p>
    <w:p w:rsidR="009E5FB0" w:rsidRPr="00264D90" w:rsidRDefault="00014789" w:rsidP="00264D90">
      <w:pPr>
        <w:pStyle w:val="lrsecthead"/>
        <w:spacing w:line="276" w:lineRule="auto"/>
        <w:ind w:left="0" w:right="142" w:firstLine="0"/>
        <w:jc w:val="both"/>
        <w:rPr>
          <w:rFonts w:asciiTheme="minorHAnsi" w:hAnsiTheme="minorHAnsi" w:cstheme="minorHAnsi"/>
          <w:b w:val="0"/>
          <w:sz w:val="24"/>
          <w:szCs w:val="24"/>
        </w:rPr>
      </w:pPr>
      <w:r w:rsidRPr="00677971">
        <w:rPr>
          <w:rFonts w:asciiTheme="minorHAnsi" w:hAnsiTheme="minorHAnsi" w:cstheme="minorHAnsi"/>
          <w:b w:val="0"/>
          <w:sz w:val="24"/>
          <w:szCs w:val="24"/>
        </w:rPr>
        <w:lastRenderedPageBreak/>
        <w:t xml:space="preserve">My answer is no. </w:t>
      </w:r>
      <w:r w:rsidR="00052A2F" w:rsidRPr="00677971">
        <w:rPr>
          <w:rFonts w:asciiTheme="minorHAnsi" w:hAnsiTheme="minorHAnsi" w:cstheme="minorHAnsi"/>
          <w:b w:val="0"/>
          <w:sz w:val="24"/>
          <w:szCs w:val="24"/>
        </w:rPr>
        <w:t>To answer this, one has to turn to the Administrative Justice Act</w:t>
      </w:r>
      <w:r w:rsidR="00264D90">
        <w:rPr>
          <w:rFonts w:asciiTheme="minorHAnsi" w:hAnsiTheme="minorHAnsi" w:cstheme="minorHAnsi"/>
          <w:b w:val="0"/>
          <w:sz w:val="24"/>
          <w:szCs w:val="24"/>
        </w:rPr>
        <w:t xml:space="preserve"> (Chapter 10:28)</w:t>
      </w:r>
      <w:r w:rsidR="00052A2F" w:rsidRPr="00677971">
        <w:rPr>
          <w:rFonts w:asciiTheme="minorHAnsi" w:hAnsiTheme="minorHAnsi" w:cstheme="minorHAnsi"/>
          <w:b w:val="0"/>
          <w:sz w:val="24"/>
          <w:szCs w:val="24"/>
        </w:rPr>
        <w:t xml:space="preserve">. Section 3 of the </w:t>
      </w:r>
      <w:r w:rsidRPr="00677971">
        <w:rPr>
          <w:rFonts w:asciiTheme="minorHAnsi" w:hAnsiTheme="minorHAnsi" w:cstheme="minorHAnsi"/>
          <w:b w:val="0"/>
          <w:sz w:val="24"/>
          <w:szCs w:val="24"/>
        </w:rPr>
        <w:t>Administrative</w:t>
      </w:r>
      <w:r w:rsidR="00052A2F" w:rsidRPr="00677971">
        <w:rPr>
          <w:rFonts w:asciiTheme="minorHAnsi" w:hAnsiTheme="minorHAnsi" w:cstheme="minorHAnsi"/>
          <w:b w:val="0"/>
          <w:sz w:val="24"/>
          <w:szCs w:val="24"/>
        </w:rPr>
        <w:t xml:space="preserve"> </w:t>
      </w:r>
      <w:r w:rsidRPr="00677971">
        <w:rPr>
          <w:rFonts w:asciiTheme="minorHAnsi" w:hAnsiTheme="minorHAnsi" w:cstheme="minorHAnsi"/>
          <w:b w:val="0"/>
          <w:sz w:val="24"/>
          <w:szCs w:val="24"/>
        </w:rPr>
        <w:t>Justice</w:t>
      </w:r>
      <w:r w:rsidR="00052A2F" w:rsidRPr="00677971">
        <w:rPr>
          <w:rFonts w:asciiTheme="minorHAnsi" w:hAnsiTheme="minorHAnsi" w:cstheme="minorHAnsi"/>
          <w:b w:val="0"/>
          <w:sz w:val="24"/>
          <w:szCs w:val="24"/>
        </w:rPr>
        <w:t xml:space="preserve"> act requires that an </w:t>
      </w:r>
      <w:r w:rsidR="0069065C" w:rsidRPr="00677971">
        <w:rPr>
          <w:rFonts w:asciiTheme="minorHAnsi" w:hAnsiTheme="minorHAnsi" w:cstheme="minorHAnsi"/>
          <w:b w:val="0"/>
          <w:sz w:val="24"/>
          <w:szCs w:val="24"/>
        </w:rPr>
        <w:t>administrative authority</w:t>
      </w:r>
      <w:r w:rsidR="00EC7CD4" w:rsidRPr="00677971">
        <w:rPr>
          <w:rFonts w:asciiTheme="minorHAnsi" w:hAnsiTheme="minorHAnsi" w:cstheme="minorHAnsi"/>
          <w:b w:val="0"/>
          <w:sz w:val="24"/>
          <w:szCs w:val="24"/>
        </w:rPr>
        <w:t xml:space="preserve"> when taking </w:t>
      </w:r>
      <w:r w:rsidR="0069065C" w:rsidRPr="00677971">
        <w:rPr>
          <w:rFonts w:asciiTheme="minorHAnsi" w:hAnsiTheme="minorHAnsi" w:cstheme="minorHAnsi"/>
          <w:b w:val="0"/>
          <w:sz w:val="24"/>
          <w:szCs w:val="24"/>
        </w:rPr>
        <w:t>action which may affect the rights, interests or legiti</w:t>
      </w:r>
      <w:r w:rsidR="00EC7CD4" w:rsidRPr="00677971">
        <w:rPr>
          <w:rFonts w:asciiTheme="minorHAnsi" w:hAnsiTheme="minorHAnsi" w:cstheme="minorHAnsi"/>
          <w:b w:val="0"/>
          <w:sz w:val="24"/>
          <w:szCs w:val="24"/>
        </w:rPr>
        <w:t xml:space="preserve">mate expectations of any person to, inter alia, </w:t>
      </w:r>
      <w:r w:rsidR="0069065C" w:rsidRPr="00677971">
        <w:rPr>
          <w:rFonts w:asciiTheme="minorHAnsi" w:hAnsiTheme="minorHAnsi" w:cstheme="minorHAnsi"/>
          <w:b w:val="0"/>
          <w:sz w:val="24"/>
          <w:szCs w:val="24"/>
        </w:rPr>
        <w:t xml:space="preserve">act lawfully, reasonably and in a fair manner; where it has taken the action, </w:t>
      </w:r>
      <w:r w:rsidR="00EC7CD4" w:rsidRPr="00677971">
        <w:rPr>
          <w:rFonts w:asciiTheme="minorHAnsi" w:hAnsiTheme="minorHAnsi" w:cstheme="minorHAnsi"/>
          <w:b w:val="0"/>
          <w:sz w:val="24"/>
          <w:szCs w:val="24"/>
        </w:rPr>
        <w:t xml:space="preserve">supply written reasons therefor; give </w:t>
      </w:r>
      <w:r w:rsidR="0069065C" w:rsidRPr="00677971">
        <w:rPr>
          <w:rFonts w:asciiTheme="minorHAnsi" w:hAnsiTheme="minorHAnsi" w:cstheme="minorHAnsi"/>
          <w:b w:val="0"/>
          <w:sz w:val="24"/>
          <w:szCs w:val="24"/>
        </w:rPr>
        <w:t>adequate notice of the nature and pur</w:t>
      </w:r>
      <w:r w:rsidR="00EC7CD4" w:rsidRPr="00677971">
        <w:rPr>
          <w:rFonts w:asciiTheme="minorHAnsi" w:hAnsiTheme="minorHAnsi" w:cstheme="minorHAnsi"/>
          <w:b w:val="0"/>
          <w:sz w:val="24"/>
          <w:szCs w:val="24"/>
        </w:rPr>
        <w:t xml:space="preserve">pose of the proposed action; provide the affected person(s) </w:t>
      </w:r>
      <w:r w:rsidR="0069065C" w:rsidRPr="00677971">
        <w:rPr>
          <w:rFonts w:asciiTheme="minorHAnsi" w:hAnsiTheme="minorHAnsi" w:cstheme="minorHAnsi"/>
          <w:b w:val="0"/>
          <w:sz w:val="24"/>
          <w:szCs w:val="24"/>
        </w:rPr>
        <w:t>a reasonable opportunity to make adequate representations; and</w:t>
      </w:r>
      <w:r w:rsidR="00EC7CD4" w:rsidRPr="00677971">
        <w:rPr>
          <w:rFonts w:asciiTheme="minorHAnsi" w:hAnsiTheme="minorHAnsi" w:cstheme="minorHAnsi"/>
          <w:b w:val="0"/>
          <w:sz w:val="24"/>
          <w:szCs w:val="24"/>
        </w:rPr>
        <w:t xml:space="preserve"> </w:t>
      </w:r>
      <w:r w:rsidR="0069065C" w:rsidRPr="00677971">
        <w:rPr>
          <w:rFonts w:asciiTheme="minorHAnsi" w:hAnsiTheme="minorHAnsi" w:cstheme="minorHAnsi"/>
          <w:b w:val="0"/>
          <w:sz w:val="24"/>
          <w:szCs w:val="24"/>
        </w:rPr>
        <w:t xml:space="preserve">adequate notice of any right of review or appeal, where </w:t>
      </w:r>
      <w:r w:rsidR="0069065C" w:rsidRPr="00264D90">
        <w:rPr>
          <w:rFonts w:asciiTheme="minorHAnsi" w:hAnsiTheme="minorHAnsi" w:cstheme="minorHAnsi"/>
          <w:b w:val="0"/>
          <w:sz w:val="24"/>
          <w:szCs w:val="24"/>
        </w:rPr>
        <w:t>applicable.</w:t>
      </w:r>
    </w:p>
    <w:p w:rsidR="00264D90" w:rsidRPr="00264D90" w:rsidRDefault="002C4986" w:rsidP="00264D90">
      <w:pPr>
        <w:spacing w:line="276" w:lineRule="auto"/>
        <w:jc w:val="both"/>
        <w:rPr>
          <w:rFonts w:eastAsia="Times New Roman" w:cstheme="minorHAnsi"/>
          <w:sz w:val="24"/>
          <w:szCs w:val="24"/>
          <w:lang w:val="en-ZA" w:eastAsia="en-ZA"/>
        </w:rPr>
      </w:pPr>
      <w:r w:rsidRPr="00264D90">
        <w:rPr>
          <w:rFonts w:cstheme="minorHAnsi"/>
          <w:sz w:val="24"/>
          <w:szCs w:val="24"/>
        </w:rPr>
        <w:t xml:space="preserve">Of relevant importance here is the fact that </w:t>
      </w:r>
      <w:r w:rsidR="0069065C" w:rsidRPr="0069065C">
        <w:rPr>
          <w:rFonts w:eastAsia="Times New Roman" w:cstheme="minorHAnsi"/>
          <w:sz w:val="24"/>
          <w:szCs w:val="24"/>
          <w:lang w:val="en-ZA" w:eastAsia="en-ZA"/>
        </w:rPr>
        <w:t>the exercise of Presidential executive powers is excluded from administrative justice in terms of</w:t>
      </w:r>
      <w:r w:rsidRPr="00264D90">
        <w:rPr>
          <w:rFonts w:eastAsia="Times New Roman" w:cstheme="minorHAnsi"/>
          <w:sz w:val="24"/>
          <w:szCs w:val="24"/>
          <w:lang w:val="en-ZA" w:eastAsia="en-ZA"/>
        </w:rPr>
        <w:t xml:space="preserve"> the Administrative Justice Act, </w:t>
      </w:r>
      <w:r w:rsidR="0069065C" w:rsidRPr="0069065C">
        <w:rPr>
          <w:rFonts w:eastAsia="Times New Roman" w:cstheme="minorHAnsi"/>
          <w:sz w:val="24"/>
          <w:szCs w:val="24"/>
          <w:lang w:val="en-ZA" w:eastAsia="en-ZA"/>
        </w:rPr>
        <w:t>specifically, according a hearing to an executive appointee and supplying reasons </w:t>
      </w:r>
      <w:r w:rsidR="0069065C" w:rsidRPr="0069065C">
        <w:rPr>
          <w:rFonts w:eastAsia="Times New Roman" w:cstheme="minorHAnsi"/>
          <w:bCs/>
          <w:i/>
          <w:iCs/>
          <w:sz w:val="24"/>
          <w:szCs w:val="24"/>
          <w:lang w:val="en-ZA" w:eastAsia="en-ZA"/>
        </w:rPr>
        <w:t>and</w:t>
      </w:r>
      <w:r w:rsidR="0069065C" w:rsidRPr="0069065C">
        <w:rPr>
          <w:rFonts w:eastAsia="Times New Roman" w:cstheme="minorHAnsi"/>
          <w:sz w:val="24"/>
          <w:szCs w:val="24"/>
          <w:lang w:val="en-ZA" w:eastAsia="en-ZA"/>
        </w:rPr>
        <w:t xml:space="preserve"> matters related to the appointment of judges (and </w:t>
      </w:r>
      <w:r w:rsidRPr="00264D90">
        <w:rPr>
          <w:rFonts w:eastAsia="Times New Roman" w:cstheme="minorHAnsi"/>
          <w:sz w:val="24"/>
          <w:szCs w:val="24"/>
          <w:lang w:val="en-ZA" w:eastAsia="en-ZA"/>
        </w:rPr>
        <w:t>the prosecutor General</w:t>
      </w:r>
      <w:r w:rsidR="0069065C" w:rsidRPr="0069065C">
        <w:rPr>
          <w:rFonts w:eastAsia="Times New Roman" w:cstheme="minorHAnsi"/>
          <w:sz w:val="24"/>
          <w:szCs w:val="24"/>
          <w:lang w:val="en-ZA" w:eastAsia="en-ZA"/>
        </w:rPr>
        <w:t xml:space="preserve"> is appointed in a similar way as a judge in terms of section 259(3) of the Constitution, thu</w:t>
      </w:r>
      <w:r w:rsidRPr="00264D90">
        <w:rPr>
          <w:rFonts w:eastAsia="Times New Roman" w:cstheme="minorHAnsi"/>
          <w:sz w:val="24"/>
          <w:szCs w:val="24"/>
          <w:lang w:val="en-ZA" w:eastAsia="en-ZA"/>
        </w:rPr>
        <w:t xml:space="preserve">s mutatis mutandis application) </w:t>
      </w:r>
      <w:r w:rsidR="009E5FB0" w:rsidRPr="00264D90">
        <w:rPr>
          <w:rFonts w:cstheme="minorHAnsi"/>
          <w:sz w:val="24"/>
          <w:szCs w:val="24"/>
          <w:lang w:val="en-ZA" w:eastAsia="en-ZA"/>
        </w:rPr>
        <w:t>Authority</w:t>
      </w:r>
      <w:r w:rsidRPr="00264D90">
        <w:rPr>
          <w:rFonts w:eastAsia="Times New Roman" w:cstheme="minorHAnsi"/>
          <w:sz w:val="24"/>
          <w:szCs w:val="24"/>
          <w:lang w:val="en-ZA" w:eastAsia="en-ZA"/>
        </w:rPr>
        <w:t xml:space="preserve"> for this is </w:t>
      </w:r>
      <w:r w:rsidR="00264D90" w:rsidRPr="00264D90">
        <w:rPr>
          <w:rFonts w:cstheme="minorHAnsi"/>
          <w:sz w:val="24"/>
          <w:szCs w:val="24"/>
          <w:lang w:val="en-ZA" w:eastAsia="en-ZA"/>
        </w:rPr>
        <w:t xml:space="preserve">section </w:t>
      </w:r>
      <w:r w:rsidR="0069065C" w:rsidRPr="0069065C">
        <w:rPr>
          <w:rFonts w:eastAsia="Times New Roman" w:cstheme="minorHAnsi"/>
          <w:sz w:val="24"/>
          <w:szCs w:val="24"/>
          <w:lang w:val="en-ZA" w:eastAsia="en-ZA"/>
        </w:rPr>
        <w:t xml:space="preserve">11(1) </w:t>
      </w:r>
      <w:r w:rsidR="00264D90" w:rsidRPr="00264D90">
        <w:rPr>
          <w:rFonts w:cstheme="minorHAnsi"/>
          <w:sz w:val="24"/>
          <w:szCs w:val="24"/>
          <w:lang w:val="en-ZA" w:eastAsia="en-ZA"/>
        </w:rPr>
        <w:t xml:space="preserve">of the Act as read with </w:t>
      </w:r>
      <w:r w:rsidRPr="00264D90">
        <w:rPr>
          <w:rFonts w:eastAsia="Times New Roman" w:cstheme="minorHAnsi"/>
          <w:sz w:val="24"/>
          <w:szCs w:val="24"/>
          <w:lang w:val="en-ZA" w:eastAsia="en-ZA"/>
        </w:rPr>
        <w:t>Part I of the Schedule</w:t>
      </w:r>
      <w:r w:rsidR="00264D90" w:rsidRPr="00264D90">
        <w:rPr>
          <w:rFonts w:cstheme="minorHAnsi"/>
          <w:sz w:val="24"/>
          <w:szCs w:val="24"/>
          <w:lang w:val="en-ZA" w:eastAsia="en-ZA"/>
        </w:rPr>
        <w:t xml:space="preserve">. </w:t>
      </w:r>
      <w:r w:rsidR="00264D90" w:rsidRPr="00264D90">
        <w:rPr>
          <w:rFonts w:eastAsia="Times New Roman" w:cstheme="minorHAnsi"/>
          <w:sz w:val="24"/>
          <w:szCs w:val="24"/>
          <w:lang w:val="en-ZA" w:eastAsia="en-ZA"/>
        </w:rPr>
        <w:t xml:space="preserve">Section 11(1) states as follows: </w:t>
      </w:r>
    </w:p>
    <w:p w:rsidR="002C4986" w:rsidRPr="004A02D5" w:rsidRDefault="00264D90" w:rsidP="009E5FB0">
      <w:pPr>
        <w:pStyle w:val="lrsecthead"/>
        <w:spacing w:line="240" w:lineRule="auto"/>
        <w:ind w:left="1107" w:right="142"/>
        <w:jc w:val="both"/>
        <w:rPr>
          <w:rFonts w:asciiTheme="minorHAnsi" w:hAnsiTheme="minorHAnsi" w:cstheme="minorHAnsi"/>
          <w:sz w:val="24"/>
          <w:szCs w:val="24"/>
        </w:rPr>
      </w:pPr>
      <w:r w:rsidRPr="004A02D5">
        <w:rPr>
          <w:rFonts w:asciiTheme="minorHAnsi" w:hAnsiTheme="minorHAnsi" w:cstheme="minorHAnsi"/>
          <w:sz w:val="24"/>
          <w:szCs w:val="24"/>
        </w:rPr>
        <w:t xml:space="preserve"> </w:t>
      </w:r>
      <w:r w:rsidR="002C4986" w:rsidRPr="004A02D5">
        <w:rPr>
          <w:rFonts w:asciiTheme="minorHAnsi" w:hAnsiTheme="minorHAnsi" w:cstheme="minorHAnsi"/>
          <w:sz w:val="24"/>
          <w:szCs w:val="24"/>
        </w:rPr>
        <w:t>“11</w:t>
      </w:r>
      <w:r w:rsidR="002C4986" w:rsidRPr="004A02D5">
        <w:rPr>
          <w:rFonts w:asciiTheme="minorHAnsi" w:hAnsiTheme="minorHAnsi" w:cstheme="minorHAnsi"/>
          <w:sz w:val="24"/>
          <w:szCs w:val="24"/>
        </w:rPr>
        <w:tab/>
        <w:t>Application of Act to certain administrative authorities or actions limited or excluded</w:t>
      </w:r>
    </w:p>
    <w:p w:rsidR="002C4986" w:rsidRPr="004A02D5" w:rsidRDefault="002C4986" w:rsidP="009E5FB0">
      <w:pPr>
        <w:pStyle w:val="lrsection"/>
        <w:spacing w:line="240" w:lineRule="auto"/>
        <w:ind w:left="738" w:right="142"/>
        <w:rPr>
          <w:rFonts w:asciiTheme="minorHAnsi" w:hAnsiTheme="minorHAnsi" w:cstheme="minorHAnsi"/>
          <w:sz w:val="24"/>
          <w:szCs w:val="24"/>
        </w:rPr>
      </w:pPr>
      <w:r w:rsidRPr="004A02D5">
        <w:rPr>
          <w:rFonts w:asciiTheme="minorHAnsi" w:hAnsiTheme="minorHAnsi" w:cstheme="minorHAnsi"/>
          <w:sz w:val="24"/>
          <w:szCs w:val="24"/>
        </w:rPr>
        <w:t>(1)  The following provisions</w:t>
      </w:r>
      <w:r w:rsidRPr="004A02D5">
        <w:rPr>
          <w:rFonts w:asciiTheme="minorHAnsi" w:hAnsiTheme="minorHAnsi" w:cstheme="minorHAnsi"/>
          <w:sz w:val="24"/>
          <w:szCs w:val="24"/>
        </w:rPr>
        <w:sym w:font="Symbol" w:char="F0BE"/>
      </w:r>
    </w:p>
    <w:p w:rsidR="002C4986" w:rsidRPr="004A02D5" w:rsidRDefault="002C4986" w:rsidP="009E5FB0">
      <w:pPr>
        <w:pStyle w:val="lrpara-a"/>
        <w:spacing w:line="240" w:lineRule="auto"/>
        <w:ind w:left="2098" w:right="142"/>
        <w:rPr>
          <w:rFonts w:asciiTheme="minorHAnsi" w:hAnsiTheme="minorHAnsi" w:cstheme="minorHAnsi"/>
          <w:sz w:val="24"/>
          <w:szCs w:val="24"/>
        </w:rPr>
      </w:pPr>
      <w:r w:rsidRPr="004A02D5">
        <w:rPr>
          <w:rFonts w:asciiTheme="minorHAnsi" w:hAnsiTheme="minorHAnsi" w:cstheme="minorHAnsi"/>
          <w:sz w:val="24"/>
          <w:szCs w:val="24"/>
        </w:rPr>
        <w:tab/>
        <w:t>(a)</w:t>
      </w:r>
      <w:r w:rsidRPr="004A02D5">
        <w:rPr>
          <w:rFonts w:asciiTheme="minorHAnsi" w:hAnsiTheme="minorHAnsi" w:cstheme="minorHAnsi"/>
          <w:sz w:val="24"/>
          <w:szCs w:val="24"/>
        </w:rPr>
        <w:tab/>
        <w:t xml:space="preserve">paragraph (c) of </w:t>
      </w:r>
      <w:r w:rsidRPr="004A02D5">
        <w:rPr>
          <w:rFonts w:asciiTheme="minorHAnsi" w:hAnsiTheme="minorHAnsi" w:cstheme="minorHAnsi"/>
          <w:spacing w:val="-3"/>
          <w:sz w:val="24"/>
          <w:szCs w:val="24"/>
          <w:lang w:val="en-US"/>
        </w:rPr>
        <w:t>subsection (1) of section</w:t>
      </w:r>
      <w:r w:rsidRPr="004A02D5">
        <w:rPr>
          <w:rFonts w:asciiTheme="minorHAnsi" w:hAnsiTheme="minorHAnsi" w:cstheme="minorHAnsi"/>
          <w:i/>
          <w:spacing w:val="-3"/>
          <w:sz w:val="24"/>
          <w:szCs w:val="24"/>
          <w:lang w:val="en-US"/>
        </w:rPr>
        <w:t xml:space="preserve"> three</w:t>
      </w:r>
      <w:r w:rsidRPr="004A02D5">
        <w:rPr>
          <w:rFonts w:asciiTheme="minorHAnsi" w:hAnsiTheme="minorHAnsi" w:cstheme="minorHAnsi"/>
          <w:spacing w:val="-3"/>
          <w:sz w:val="24"/>
          <w:szCs w:val="24"/>
          <w:lang w:val="en-US"/>
        </w:rPr>
        <w:t>;</w:t>
      </w:r>
      <w:r w:rsidRPr="004A02D5">
        <w:rPr>
          <w:rFonts w:asciiTheme="minorHAnsi" w:hAnsiTheme="minorHAnsi" w:cstheme="minorHAnsi"/>
          <w:sz w:val="24"/>
          <w:szCs w:val="24"/>
        </w:rPr>
        <w:t xml:space="preserve"> and</w:t>
      </w:r>
    </w:p>
    <w:p w:rsidR="002C4986" w:rsidRPr="004A02D5" w:rsidRDefault="002C4986" w:rsidP="009E5FB0">
      <w:pPr>
        <w:pStyle w:val="lrpara-a"/>
        <w:spacing w:line="240" w:lineRule="auto"/>
        <w:ind w:left="2098" w:right="142"/>
        <w:rPr>
          <w:rFonts w:asciiTheme="minorHAnsi" w:hAnsiTheme="minorHAnsi" w:cstheme="minorHAnsi"/>
          <w:sz w:val="24"/>
          <w:szCs w:val="24"/>
        </w:rPr>
      </w:pPr>
      <w:r w:rsidRPr="004A02D5">
        <w:rPr>
          <w:rFonts w:asciiTheme="minorHAnsi" w:hAnsiTheme="minorHAnsi" w:cstheme="minorHAnsi"/>
          <w:sz w:val="24"/>
          <w:szCs w:val="24"/>
        </w:rPr>
        <w:tab/>
        <w:t>(b)</w:t>
      </w:r>
      <w:r w:rsidRPr="004A02D5">
        <w:rPr>
          <w:rFonts w:asciiTheme="minorHAnsi" w:hAnsiTheme="minorHAnsi" w:cstheme="minorHAnsi"/>
          <w:sz w:val="24"/>
          <w:szCs w:val="24"/>
        </w:rPr>
        <w:tab/>
      </w:r>
      <w:r w:rsidRPr="004A02D5">
        <w:rPr>
          <w:rFonts w:asciiTheme="minorHAnsi" w:hAnsiTheme="minorHAnsi" w:cstheme="minorHAnsi"/>
          <w:spacing w:val="-3"/>
          <w:sz w:val="24"/>
          <w:szCs w:val="24"/>
          <w:lang w:val="en-US"/>
        </w:rPr>
        <w:t>subsection (2) of section</w:t>
      </w:r>
      <w:r w:rsidRPr="004A02D5">
        <w:rPr>
          <w:rFonts w:asciiTheme="minorHAnsi" w:hAnsiTheme="minorHAnsi" w:cstheme="minorHAnsi"/>
          <w:i/>
          <w:spacing w:val="-3"/>
          <w:sz w:val="24"/>
          <w:szCs w:val="24"/>
          <w:lang w:val="en-US"/>
        </w:rPr>
        <w:t xml:space="preserve"> three</w:t>
      </w:r>
      <w:r w:rsidRPr="004A02D5">
        <w:rPr>
          <w:rFonts w:asciiTheme="minorHAnsi" w:hAnsiTheme="minorHAnsi" w:cstheme="minorHAnsi"/>
          <w:sz w:val="24"/>
          <w:szCs w:val="24"/>
        </w:rPr>
        <w:t>; and</w:t>
      </w:r>
    </w:p>
    <w:p w:rsidR="002C4986" w:rsidRPr="004A02D5" w:rsidRDefault="002C4986" w:rsidP="009E5FB0">
      <w:pPr>
        <w:pStyle w:val="lrpara-a"/>
        <w:spacing w:line="240" w:lineRule="auto"/>
        <w:ind w:left="2098" w:right="142"/>
        <w:rPr>
          <w:rFonts w:asciiTheme="minorHAnsi" w:hAnsiTheme="minorHAnsi" w:cstheme="minorHAnsi"/>
          <w:sz w:val="24"/>
          <w:szCs w:val="24"/>
        </w:rPr>
      </w:pPr>
      <w:r w:rsidRPr="004A02D5">
        <w:rPr>
          <w:rFonts w:asciiTheme="minorHAnsi" w:hAnsiTheme="minorHAnsi" w:cstheme="minorHAnsi"/>
          <w:sz w:val="24"/>
          <w:szCs w:val="24"/>
        </w:rPr>
        <w:tab/>
        <w:t>(c)</w:t>
      </w:r>
      <w:r w:rsidRPr="004A02D5">
        <w:rPr>
          <w:rFonts w:asciiTheme="minorHAnsi" w:hAnsiTheme="minorHAnsi" w:cstheme="minorHAnsi"/>
          <w:sz w:val="24"/>
          <w:szCs w:val="24"/>
        </w:rPr>
        <w:tab/>
      </w:r>
      <w:r w:rsidRPr="004A02D5">
        <w:rPr>
          <w:rFonts w:asciiTheme="minorHAnsi" w:hAnsiTheme="minorHAnsi" w:cstheme="minorHAnsi"/>
          <w:spacing w:val="-3"/>
          <w:sz w:val="24"/>
          <w:szCs w:val="24"/>
          <w:lang w:val="en-US"/>
        </w:rPr>
        <w:t>section</w:t>
      </w:r>
      <w:r w:rsidRPr="004A02D5">
        <w:rPr>
          <w:rFonts w:asciiTheme="minorHAnsi" w:hAnsiTheme="minorHAnsi" w:cstheme="minorHAnsi"/>
          <w:i/>
          <w:spacing w:val="-3"/>
          <w:sz w:val="24"/>
          <w:szCs w:val="24"/>
          <w:lang w:val="en-US"/>
        </w:rPr>
        <w:t xml:space="preserve"> six</w:t>
      </w:r>
      <w:r w:rsidRPr="004A02D5">
        <w:rPr>
          <w:rFonts w:asciiTheme="minorHAnsi" w:hAnsiTheme="minorHAnsi" w:cstheme="minorHAnsi"/>
          <w:sz w:val="24"/>
          <w:szCs w:val="24"/>
        </w:rPr>
        <w:t>;</w:t>
      </w:r>
    </w:p>
    <w:p w:rsidR="002C4986" w:rsidRPr="004A02D5" w:rsidRDefault="002C4986" w:rsidP="009E5FB0">
      <w:pPr>
        <w:pStyle w:val="lrsectionend"/>
        <w:spacing w:line="240" w:lineRule="auto"/>
        <w:ind w:left="738" w:right="142"/>
        <w:rPr>
          <w:rFonts w:asciiTheme="minorHAnsi" w:hAnsiTheme="minorHAnsi" w:cstheme="minorHAnsi"/>
          <w:sz w:val="24"/>
          <w:szCs w:val="24"/>
        </w:rPr>
      </w:pPr>
      <w:r w:rsidRPr="004A02D5">
        <w:rPr>
          <w:rFonts w:asciiTheme="minorHAnsi" w:hAnsiTheme="minorHAnsi" w:cstheme="minorHAnsi"/>
          <w:sz w:val="24"/>
          <w:szCs w:val="24"/>
        </w:rPr>
        <w:t>shall not apply to any of the administrative actions specified in Part I of the Schedule.</w:t>
      </w:r>
    </w:p>
    <w:p w:rsidR="002C4986" w:rsidRPr="0069065C" w:rsidRDefault="002C4986" w:rsidP="009E5FB0">
      <w:pPr>
        <w:spacing w:line="240" w:lineRule="auto"/>
        <w:ind w:left="738"/>
        <w:jc w:val="both"/>
        <w:rPr>
          <w:rFonts w:eastAsia="Times New Roman" w:cstheme="minorHAnsi"/>
          <w:sz w:val="24"/>
          <w:szCs w:val="24"/>
          <w:lang w:val="en-ZA" w:eastAsia="en-ZA"/>
        </w:rPr>
      </w:pPr>
      <w:r w:rsidRPr="004A02D5">
        <w:rPr>
          <w:rFonts w:eastAsia="Times New Roman" w:cstheme="minorHAnsi"/>
          <w:sz w:val="24"/>
          <w:szCs w:val="24"/>
          <w:lang w:val="en-ZA" w:eastAsia="en-ZA"/>
        </w:rPr>
        <w:t>…”</w:t>
      </w:r>
    </w:p>
    <w:p w:rsidR="0069065C" w:rsidRPr="004A02D5" w:rsidRDefault="002E58C5" w:rsidP="004A02D5">
      <w:pPr>
        <w:spacing w:after="0" w:line="276" w:lineRule="auto"/>
        <w:jc w:val="both"/>
        <w:rPr>
          <w:rFonts w:eastAsia="Times New Roman" w:cstheme="minorHAnsi"/>
          <w:sz w:val="24"/>
          <w:szCs w:val="24"/>
          <w:lang w:val="en-ZA" w:eastAsia="en-ZA"/>
        </w:rPr>
      </w:pPr>
      <w:r w:rsidRPr="004A02D5">
        <w:rPr>
          <w:rFonts w:eastAsia="Times New Roman" w:cstheme="minorHAnsi"/>
          <w:sz w:val="24"/>
          <w:szCs w:val="24"/>
          <w:lang w:val="en-ZA" w:eastAsia="en-ZA"/>
        </w:rPr>
        <w:t>Part I of the Schedule to the Act reads as follows:</w:t>
      </w:r>
    </w:p>
    <w:p w:rsidR="002E58C5" w:rsidRPr="004A02D5" w:rsidRDefault="002E58C5" w:rsidP="004A02D5">
      <w:pPr>
        <w:spacing w:after="0" w:line="276" w:lineRule="auto"/>
        <w:jc w:val="both"/>
        <w:rPr>
          <w:rFonts w:eastAsia="Times New Roman" w:cstheme="minorHAnsi"/>
          <w:sz w:val="24"/>
          <w:szCs w:val="24"/>
          <w:lang w:val="en-ZA" w:eastAsia="en-ZA"/>
        </w:rPr>
      </w:pPr>
    </w:p>
    <w:p w:rsidR="002E58C5" w:rsidRPr="00264D90" w:rsidRDefault="002E58C5" w:rsidP="009E5FB0">
      <w:pPr>
        <w:pStyle w:val="LRPARTTITLE"/>
        <w:spacing w:line="240" w:lineRule="auto"/>
        <w:ind w:right="142"/>
        <w:rPr>
          <w:rFonts w:asciiTheme="minorHAnsi" w:hAnsiTheme="minorHAnsi" w:cstheme="minorHAnsi"/>
          <w:b/>
          <w:sz w:val="24"/>
          <w:szCs w:val="24"/>
        </w:rPr>
      </w:pPr>
      <w:r w:rsidRPr="00264D90">
        <w:rPr>
          <w:rFonts w:asciiTheme="minorHAnsi" w:hAnsiTheme="minorHAnsi" w:cstheme="minorHAnsi"/>
          <w:b/>
          <w:sz w:val="24"/>
          <w:szCs w:val="24"/>
          <w:lang w:val="en-ZA" w:eastAsia="en-ZA"/>
        </w:rPr>
        <w:t>“</w:t>
      </w:r>
      <w:r w:rsidRPr="00264D90">
        <w:rPr>
          <w:rFonts w:asciiTheme="minorHAnsi" w:hAnsiTheme="minorHAnsi" w:cstheme="minorHAnsi"/>
          <w:b/>
          <w:sz w:val="24"/>
          <w:szCs w:val="24"/>
        </w:rPr>
        <w:t>Part I</w:t>
      </w:r>
    </w:p>
    <w:p w:rsidR="002E58C5" w:rsidRPr="00264D90" w:rsidRDefault="002E58C5" w:rsidP="009E5FB0">
      <w:pPr>
        <w:pStyle w:val="LRPARTTITLE"/>
        <w:spacing w:line="240" w:lineRule="auto"/>
        <w:ind w:right="142"/>
        <w:rPr>
          <w:rFonts w:asciiTheme="minorHAnsi" w:hAnsiTheme="minorHAnsi" w:cstheme="minorHAnsi"/>
          <w:b/>
          <w:sz w:val="24"/>
          <w:szCs w:val="24"/>
        </w:rPr>
      </w:pPr>
      <w:r w:rsidRPr="00264D90">
        <w:rPr>
          <w:rFonts w:asciiTheme="minorHAnsi" w:hAnsiTheme="minorHAnsi" w:cstheme="minorHAnsi"/>
          <w:b/>
          <w:sz w:val="24"/>
          <w:szCs w:val="24"/>
        </w:rPr>
        <w:t>Actions to which Sections 3(1) (c), 3(2) and 6 do not Apply</w:t>
      </w:r>
    </w:p>
    <w:p w:rsidR="002E58C5" w:rsidRPr="004A02D5" w:rsidRDefault="002E58C5" w:rsidP="009E5FB0">
      <w:pPr>
        <w:pStyle w:val="lrpara-a"/>
        <w:spacing w:line="240" w:lineRule="auto"/>
        <w:ind w:right="142"/>
        <w:rPr>
          <w:rFonts w:asciiTheme="minorHAnsi" w:hAnsiTheme="minorHAnsi" w:cstheme="minorHAnsi"/>
          <w:sz w:val="24"/>
          <w:szCs w:val="24"/>
        </w:rPr>
      </w:pPr>
      <w:r w:rsidRPr="004A02D5">
        <w:rPr>
          <w:rFonts w:asciiTheme="minorHAnsi" w:hAnsiTheme="minorHAnsi" w:cstheme="minorHAnsi"/>
          <w:sz w:val="24"/>
          <w:szCs w:val="24"/>
        </w:rPr>
        <w:tab/>
        <w:t>1.</w:t>
      </w:r>
      <w:r w:rsidRPr="004A02D5">
        <w:rPr>
          <w:rFonts w:asciiTheme="minorHAnsi" w:hAnsiTheme="minorHAnsi" w:cstheme="minorHAnsi"/>
          <w:sz w:val="24"/>
          <w:szCs w:val="24"/>
        </w:rPr>
        <w:tab/>
        <w:t>Any exercise or performance of the executive powers or functions of the President or Cabinet.</w:t>
      </w:r>
    </w:p>
    <w:p w:rsidR="002E58C5" w:rsidRPr="004A02D5" w:rsidRDefault="002E58C5" w:rsidP="009E5FB0">
      <w:pPr>
        <w:pStyle w:val="lrpara-a"/>
        <w:spacing w:line="240" w:lineRule="auto"/>
        <w:ind w:right="142"/>
        <w:rPr>
          <w:rFonts w:asciiTheme="minorHAnsi" w:hAnsiTheme="minorHAnsi" w:cstheme="minorHAnsi"/>
          <w:sz w:val="24"/>
          <w:szCs w:val="24"/>
        </w:rPr>
      </w:pPr>
      <w:r w:rsidRPr="004A02D5">
        <w:rPr>
          <w:rFonts w:asciiTheme="minorHAnsi" w:hAnsiTheme="minorHAnsi" w:cstheme="minorHAnsi"/>
          <w:sz w:val="24"/>
          <w:szCs w:val="24"/>
        </w:rPr>
        <w:tab/>
        <w:t>2.</w:t>
      </w:r>
      <w:r w:rsidRPr="004A02D5">
        <w:rPr>
          <w:rFonts w:asciiTheme="minorHAnsi" w:hAnsiTheme="minorHAnsi" w:cstheme="minorHAnsi"/>
          <w:sz w:val="24"/>
          <w:szCs w:val="24"/>
        </w:rPr>
        <w:tab/>
        <w:t>Decisions to institute or continue or discontinue criminal proceedings and prosecutions.</w:t>
      </w:r>
    </w:p>
    <w:p w:rsidR="002E58C5" w:rsidRDefault="002E58C5" w:rsidP="009E5FB0">
      <w:pPr>
        <w:pStyle w:val="lrpara-a"/>
        <w:spacing w:line="240" w:lineRule="auto"/>
        <w:ind w:right="142"/>
        <w:rPr>
          <w:rFonts w:asciiTheme="minorHAnsi" w:hAnsiTheme="minorHAnsi" w:cstheme="minorHAnsi"/>
          <w:sz w:val="24"/>
          <w:szCs w:val="24"/>
        </w:rPr>
      </w:pPr>
      <w:r w:rsidRPr="004A02D5">
        <w:rPr>
          <w:rFonts w:asciiTheme="minorHAnsi" w:hAnsiTheme="minorHAnsi" w:cstheme="minorHAnsi"/>
          <w:sz w:val="24"/>
          <w:szCs w:val="24"/>
        </w:rPr>
        <w:tab/>
        <w:t>3.</w:t>
      </w:r>
      <w:r w:rsidRPr="004A02D5">
        <w:rPr>
          <w:rFonts w:asciiTheme="minorHAnsi" w:hAnsiTheme="minorHAnsi" w:cstheme="minorHAnsi"/>
          <w:sz w:val="24"/>
          <w:szCs w:val="24"/>
        </w:rPr>
        <w:tab/>
        <w:t>Decisions relating to the appointment of judicial officers.”</w:t>
      </w:r>
    </w:p>
    <w:p w:rsidR="009E5FB0" w:rsidRPr="004A02D5" w:rsidRDefault="009E5FB0" w:rsidP="009E5FB0">
      <w:pPr>
        <w:pStyle w:val="lrpara-a"/>
        <w:spacing w:line="240" w:lineRule="auto"/>
        <w:ind w:right="142"/>
        <w:rPr>
          <w:rFonts w:asciiTheme="minorHAnsi" w:hAnsiTheme="minorHAnsi" w:cstheme="minorHAnsi"/>
          <w:sz w:val="24"/>
          <w:szCs w:val="24"/>
        </w:rPr>
      </w:pPr>
    </w:p>
    <w:p w:rsidR="002E58C5" w:rsidRPr="004A02D5" w:rsidRDefault="002E58C5" w:rsidP="004A02D5">
      <w:pPr>
        <w:pStyle w:val="lrpara-a"/>
        <w:spacing w:line="276" w:lineRule="auto"/>
        <w:ind w:left="0" w:right="142" w:firstLine="0"/>
        <w:rPr>
          <w:rFonts w:asciiTheme="minorHAnsi" w:hAnsiTheme="minorHAnsi" w:cstheme="minorHAnsi"/>
          <w:sz w:val="24"/>
          <w:szCs w:val="24"/>
        </w:rPr>
      </w:pPr>
      <w:r w:rsidRPr="004A02D5">
        <w:rPr>
          <w:rFonts w:asciiTheme="minorHAnsi" w:hAnsiTheme="minorHAnsi" w:cstheme="minorHAnsi"/>
          <w:sz w:val="24"/>
          <w:szCs w:val="24"/>
        </w:rPr>
        <w:t xml:space="preserve">One can therefore not rely on the Administrative Justice Act to claim administrative justice for Mr </w:t>
      </w:r>
      <w:proofErr w:type="spellStart"/>
      <w:r w:rsidRPr="004A02D5">
        <w:rPr>
          <w:rFonts w:asciiTheme="minorHAnsi" w:hAnsiTheme="minorHAnsi" w:cstheme="minorHAnsi"/>
          <w:sz w:val="24"/>
          <w:szCs w:val="24"/>
        </w:rPr>
        <w:t>Goba</w:t>
      </w:r>
      <w:proofErr w:type="spellEnd"/>
      <w:r w:rsidRPr="004A02D5">
        <w:rPr>
          <w:rFonts w:asciiTheme="minorHAnsi" w:hAnsiTheme="minorHAnsi" w:cstheme="minorHAnsi"/>
          <w:sz w:val="24"/>
          <w:szCs w:val="24"/>
        </w:rPr>
        <w:t xml:space="preserve">. </w:t>
      </w:r>
    </w:p>
    <w:p w:rsidR="002E58C5" w:rsidRPr="0069065C" w:rsidRDefault="002E58C5" w:rsidP="004A02D5">
      <w:pPr>
        <w:spacing w:after="0" w:line="276" w:lineRule="auto"/>
        <w:jc w:val="both"/>
        <w:rPr>
          <w:rFonts w:eastAsia="Times New Roman" w:cstheme="minorHAnsi"/>
          <w:sz w:val="24"/>
          <w:szCs w:val="24"/>
          <w:lang w:val="en-ZA" w:eastAsia="en-ZA"/>
        </w:rPr>
      </w:pPr>
    </w:p>
    <w:p w:rsidR="0069065C" w:rsidRPr="0069065C" w:rsidRDefault="009E5FB0" w:rsidP="004A02D5">
      <w:pPr>
        <w:spacing w:after="0" w:line="276" w:lineRule="auto"/>
        <w:jc w:val="both"/>
        <w:rPr>
          <w:rFonts w:eastAsia="Times New Roman" w:cstheme="minorHAnsi"/>
          <w:sz w:val="24"/>
          <w:szCs w:val="24"/>
          <w:lang w:val="en-ZA" w:eastAsia="en-ZA"/>
        </w:rPr>
      </w:pPr>
      <w:r>
        <w:rPr>
          <w:rFonts w:eastAsia="Times New Roman" w:cstheme="minorHAnsi"/>
          <w:sz w:val="24"/>
          <w:szCs w:val="24"/>
          <w:lang w:val="en-ZA" w:eastAsia="en-ZA"/>
        </w:rPr>
        <w:t xml:space="preserve">This case can only be properly challenged </w:t>
      </w:r>
      <w:r w:rsidR="0069065C" w:rsidRPr="0069065C">
        <w:rPr>
          <w:rFonts w:eastAsia="Times New Roman" w:cstheme="minorHAnsi"/>
          <w:sz w:val="24"/>
          <w:szCs w:val="24"/>
          <w:lang w:val="en-ZA" w:eastAsia="en-ZA"/>
        </w:rPr>
        <w:t>using the principle of legality (specifically rationality) as opposed to administrative justice - as per D</w:t>
      </w:r>
      <w:r w:rsidR="0069065C" w:rsidRPr="0069065C">
        <w:rPr>
          <w:rFonts w:eastAsia="Times New Roman" w:cstheme="minorHAnsi"/>
          <w:i/>
          <w:iCs/>
          <w:sz w:val="24"/>
          <w:szCs w:val="24"/>
          <w:lang w:val="en-ZA" w:eastAsia="en-ZA"/>
        </w:rPr>
        <w:t>emocratic Alliance v President of RSA</w:t>
      </w:r>
      <w:r w:rsidR="0069065C" w:rsidRPr="0069065C">
        <w:rPr>
          <w:rFonts w:eastAsia="Times New Roman" w:cstheme="minorHAnsi"/>
          <w:sz w:val="24"/>
          <w:szCs w:val="24"/>
          <w:lang w:val="en-ZA" w:eastAsia="en-ZA"/>
        </w:rPr>
        <w:t xml:space="preserve"> 2013 (1) SA 248 (CC) - wherein the challenge to the </w:t>
      </w:r>
      <w:r w:rsidR="005762D2">
        <w:rPr>
          <w:rFonts w:eastAsia="Times New Roman" w:cstheme="minorHAnsi"/>
          <w:sz w:val="24"/>
          <w:szCs w:val="24"/>
          <w:lang w:val="en-ZA" w:eastAsia="en-ZA"/>
        </w:rPr>
        <w:t xml:space="preserve">appointment of the </w:t>
      </w:r>
      <w:r w:rsidR="0069065C" w:rsidRPr="0069065C">
        <w:rPr>
          <w:rFonts w:eastAsia="Times New Roman" w:cstheme="minorHAnsi"/>
          <w:sz w:val="24"/>
          <w:szCs w:val="24"/>
          <w:lang w:val="en-ZA" w:eastAsia="en-ZA"/>
        </w:rPr>
        <w:t xml:space="preserve">National Director </w:t>
      </w:r>
      <w:r w:rsidR="0069065C" w:rsidRPr="0069065C">
        <w:rPr>
          <w:rFonts w:eastAsia="Times New Roman" w:cstheme="minorHAnsi"/>
          <w:sz w:val="24"/>
          <w:szCs w:val="24"/>
          <w:lang w:val="en-ZA" w:eastAsia="en-ZA"/>
        </w:rPr>
        <w:lastRenderedPageBreak/>
        <w:t>of Public Prosecutions</w:t>
      </w:r>
      <w:r w:rsidR="005762D2">
        <w:rPr>
          <w:rFonts w:eastAsia="Times New Roman" w:cstheme="minorHAnsi"/>
          <w:sz w:val="24"/>
          <w:szCs w:val="24"/>
          <w:lang w:val="en-ZA" w:eastAsia="en-ZA"/>
        </w:rPr>
        <w:t xml:space="preserve"> (NDPP)</w:t>
      </w:r>
      <w:r w:rsidR="0069065C" w:rsidRPr="0069065C">
        <w:rPr>
          <w:rFonts w:eastAsia="Times New Roman" w:cstheme="minorHAnsi"/>
          <w:sz w:val="24"/>
          <w:szCs w:val="24"/>
          <w:lang w:val="en-ZA" w:eastAsia="en-ZA"/>
        </w:rPr>
        <w:t xml:space="preserve"> in South Africa was considered by the Constitutional Court. </w:t>
      </w:r>
      <w:r w:rsidR="00893439" w:rsidRPr="004A02D5">
        <w:rPr>
          <w:rFonts w:eastAsia="Times New Roman" w:cstheme="minorHAnsi"/>
          <w:sz w:val="24"/>
          <w:szCs w:val="24"/>
          <w:lang w:val="en-ZA" w:eastAsia="en-ZA"/>
        </w:rPr>
        <w:t xml:space="preserve">I express no opinion as to the prospects of success on a rationality challenge. </w:t>
      </w:r>
    </w:p>
    <w:p w:rsidR="0069065C" w:rsidRPr="0069065C" w:rsidRDefault="0069065C" w:rsidP="004A02D5">
      <w:pPr>
        <w:spacing w:after="0" w:line="276" w:lineRule="auto"/>
        <w:jc w:val="both"/>
        <w:rPr>
          <w:rFonts w:eastAsia="Times New Roman" w:cstheme="minorHAnsi"/>
          <w:sz w:val="24"/>
          <w:szCs w:val="24"/>
          <w:lang w:val="en-ZA" w:eastAsia="en-ZA"/>
        </w:rPr>
      </w:pPr>
    </w:p>
    <w:p w:rsidR="005F4AF6" w:rsidRPr="004A02D5" w:rsidRDefault="00264D90" w:rsidP="004A02D5">
      <w:pPr>
        <w:spacing w:line="276" w:lineRule="auto"/>
        <w:jc w:val="both"/>
        <w:rPr>
          <w:rFonts w:cstheme="minorHAnsi"/>
          <w:b/>
          <w:sz w:val="24"/>
          <w:szCs w:val="24"/>
        </w:rPr>
      </w:pPr>
      <w:r>
        <w:rPr>
          <w:rFonts w:cstheme="minorHAnsi"/>
          <w:b/>
          <w:sz w:val="24"/>
          <w:szCs w:val="24"/>
        </w:rPr>
        <w:t xml:space="preserve">6. </w:t>
      </w:r>
      <w:r w:rsidRPr="004A02D5">
        <w:rPr>
          <w:rFonts w:cstheme="minorHAnsi"/>
          <w:b/>
          <w:sz w:val="24"/>
          <w:szCs w:val="24"/>
        </w:rPr>
        <w:t>Conclusion</w:t>
      </w:r>
    </w:p>
    <w:p w:rsidR="007C1C9B" w:rsidRPr="004A02D5" w:rsidRDefault="005F4AF6" w:rsidP="004A02D5">
      <w:pPr>
        <w:spacing w:line="276" w:lineRule="auto"/>
        <w:jc w:val="both"/>
        <w:rPr>
          <w:rFonts w:cstheme="minorHAnsi"/>
          <w:sz w:val="24"/>
          <w:szCs w:val="24"/>
        </w:rPr>
      </w:pPr>
      <w:r w:rsidRPr="004A02D5">
        <w:rPr>
          <w:rFonts w:cstheme="minorHAnsi"/>
          <w:sz w:val="24"/>
          <w:szCs w:val="24"/>
        </w:rPr>
        <w:t xml:space="preserve">My conclusion is that there is no </w:t>
      </w:r>
      <w:r w:rsidR="00893439" w:rsidRPr="004A02D5">
        <w:rPr>
          <w:rFonts w:cstheme="minorHAnsi"/>
          <w:sz w:val="24"/>
          <w:szCs w:val="24"/>
        </w:rPr>
        <w:t xml:space="preserve">unconstitutionality or a breach of administrative justice </w:t>
      </w:r>
      <w:r w:rsidRPr="004A02D5">
        <w:rPr>
          <w:rFonts w:cstheme="minorHAnsi"/>
          <w:sz w:val="24"/>
          <w:szCs w:val="24"/>
        </w:rPr>
        <w:t xml:space="preserve">in </w:t>
      </w:r>
      <w:r w:rsidR="005762D2">
        <w:rPr>
          <w:rFonts w:cstheme="minorHAnsi"/>
          <w:sz w:val="24"/>
          <w:szCs w:val="24"/>
        </w:rPr>
        <w:t xml:space="preserve">the conduct of the President </w:t>
      </w:r>
      <w:proofErr w:type="gramStart"/>
      <w:r w:rsidR="005762D2">
        <w:rPr>
          <w:rFonts w:cstheme="minorHAnsi"/>
          <w:sz w:val="24"/>
          <w:szCs w:val="24"/>
        </w:rPr>
        <w:t xml:space="preserve">in  </w:t>
      </w:r>
      <w:r w:rsidRPr="004A02D5">
        <w:rPr>
          <w:rFonts w:cstheme="minorHAnsi"/>
          <w:sz w:val="24"/>
          <w:szCs w:val="24"/>
        </w:rPr>
        <w:t>repealing</w:t>
      </w:r>
      <w:proofErr w:type="gramEnd"/>
      <w:r w:rsidRPr="004A02D5">
        <w:rPr>
          <w:rFonts w:cstheme="minorHAnsi"/>
          <w:sz w:val="24"/>
          <w:szCs w:val="24"/>
        </w:rPr>
        <w:t xml:space="preserve"> his earlier Extra Ordinary Gazette announc</w:t>
      </w:r>
      <w:r w:rsidR="00AC75EA" w:rsidRPr="004A02D5">
        <w:rPr>
          <w:rFonts w:cstheme="minorHAnsi"/>
          <w:sz w:val="24"/>
          <w:szCs w:val="24"/>
        </w:rPr>
        <w:t>ing</w:t>
      </w:r>
      <w:r w:rsidR="0005014A">
        <w:rPr>
          <w:rFonts w:cstheme="minorHAnsi"/>
          <w:sz w:val="24"/>
          <w:szCs w:val="24"/>
        </w:rPr>
        <w:t xml:space="preserve"> the appointment of Mr Ray Gob</w:t>
      </w:r>
      <w:r w:rsidRPr="004A02D5">
        <w:rPr>
          <w:rFonts w:cstheme="minorHAnsi"/>
          <w:sz w:val="24"/>
          <w:szCs w:val="24"/>
        </w:rPr>
        <w:t xml:space="preserve">a. </w:t>
      </w:r>
      <w:r w:rsidR="009E5FB0">
        <w:rPr>
          <w:rFonts w:cstheme="minorHAnsi"/>
          <w:sz w:val="24"/>
          <w:szCs w:val="24"/>
        </w:rPr>
        <w:t xml:space="preserve">The removal process stipulated by the Constitution does not kick-in as Mr Goba had not assumed office just yet. </w:t>
      </w:r>
      <w:r w:rsidRPr="004A02D5">
        <w:rPr>
          <w:rFonts w:cstheme="minorHAnsi"/>
          <w:sz w:val="24"/>
          <w:szCs w:val="24"/>
        </w:rPr>
        <w:t xml:space="preserve">Mr Goba continues to hold office now in an acting capacity – a capacity for which he took oath of office. </w:t>
      </w:r>
      <w:r w:rsidR="007C1C9B" w:rsidRPr="004A02D5">
        <w:rPr>
          <w:rFonts w:cstheme="minorHAnsi"/>
          <w:sz w:val="24"/>
          <w:szCs w:val="24"/>
        </w:rPr>
        <w:t xml:space="preserve">The President can now appoint from the </w:t>
      </w:r>
      <w:r w:rsidR="00261771" w:rsidRPr="004A02D5">
        <w:rPr>
          <w:rFonts w:cstheme="minorHAnsi"/>
          <w:sz w:val="24"/>
          <w:szCs w:val="24"/>
        </w:rPr>
        <w:t>existing</w:t>
      </w:r>
      <w:r w:rsidR="007C1C9B" w:rsidRPr="004A02D5">
        <w:rPr>
          <w:rFonts w:cstheme="minorHAnsi"/>
          <w:sz w:val="24"/>
          <w:szCs w:val="24"/>
        </w:rPr>
        <w:t xml:space="preserve"> candidates </w:t>
      </w:r>
      <w:r w:rsidR="00AD27CE" w:rsidRPr="004A02D5">
        <w:rPr>
          <w:rFonts w:cstheme="minorHAnsi"/>
          <w:sz w:val="24"/>
          <w:szCs w:val="24"/>
        </w:rPr>
        <w:t>from the list of three that</w:t>
      </w:r>
      <w:r w:rsidR="007C1C9B" w:rsidRPr="004A02D5">
        <w:rPr>
          <w:rFonts w:cstheme="minorHAnsi"/>
          <w:sz w:val="24"/>
          <w:szCs w:val="24"/>
        </w:rPr>
        <w:t xml:space="preserve"> he was </w:t>
      </w:r>
      <w:r w:rsidR="00261771" w:rsidRPr="004A02D5">
        <w:rPr>
          <w:rFonts w:cstheme="minorHAnsi"/>
          <w:sz w:val="24"/>
          <w:szCs w:val="24"/>
        </w:rPr>
        <w:t>given</w:t>
      </w:r>
      <w:r w:rsidR="007C1C9B" w:rsidRPr="004A02D5">
        <w:rPr>
          <w:rFonts w:cstheme="minorHAnsi"/>
          <w:sz w:val="24"/>
          <w:szCs w:val="24"/>
        </w:rPr>
        <w:t xml:space="preserve"> by the JSC. If he is not happy with that </w:t>
      </w:r>
      <w:r w:rsidR="00261771" w:rsidRPr="004A02D5">
        <w:rPr>
          <w:rFonts w:cstheme="minorHAnsi"/>
          <w:sz w:val="24"/>
          <w:szCs w:val="24"/>
        </w:rPr>
        <w:t>list</w:t>
      </w:r>
      <w:r w:rsidR="007C1C9B" w:rsidRPr="004A02D5">
        <w:rPr>
          <w:rFonts w:cstheme="minorHAnsi"/>
          <w:sz w:val="24"/>
          <w:szCs w:val="24"/>
        </w:rPr>
        <w:t>, the President can request the JSC to supply another list. Th</w:t>
      </w:r>
      <w:r w:rsidR="004A02D5" w:rsidRPr="004A02D5">
        <w:rPr>
          <w:rFonts w:cstheme="minorHAnsi"/>
          <w:sz w:val="24"/>
          <w:szCs w:val="24"/>
        </w:rPr>
        <w:t>e latter would necessitate holding f</w:t>
      </w:r>
      <w:r w:rsidR="007C1C9B" w:rsidRPr="004A02D5">
        <w:rPr>
          <w:rFonts w:cstheme="minorHAnsi"/>
          <w:sz w:val="24"/>
          <w:szCs w:val="24"/>
        </w:rPr>
        <w:t xml:space="preserve">resh </w:t>
      </w:r>
      <w:r w:rsidR="004A02D5" w:rsidRPr="004A02D5">
        <w:rPr>
          <w:rFonts w:cstheme="minorHAnsi"/>
          <w:sz w:val="24"/>
          <w:szCs w:val="24"/>
        </w:rPr>
        <w:t xml:space="preserve">interviews. </w:t>
      </w:r>
    </w:p>
    <w:sectPr w:rsidR="007C1C9B" w:rsidRPr="004A02D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1D" w:rsidRDefault="00E0431D" w:rsidP="0055577C">
      <w:pPr>
        <w:spacing w:after="0" w:line="240" w:lineRule="auto"/>
      </w:pPr>
      <w:r>
        <w:separator/>
      </w:r>
    </w:p>
  </w:endnote>
  <w:endnote w:type="continuationSeparator" w:id="0">
    <w:p w:rsidR="00E0431D" w:rsidRDefault="00E0431D" w:rsidP="0055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24247"/>
      <w:docPartObj>
        <w:docPartGallery w:val="Page Numbers (Bottom of Page)"/>
        <w:docPartUnique/>
      </w:docPartObj>
    </w:sdtPr>
    <w:sdtEndPr>
      <w:rPr>
        <w:noProof/>
      </w:rPr>
    </w:sdtEndPr>
    <w:sdtContent>
      <w:p w:rsidR="00F7759E" w:rsidRDefault="00F7759E">
        <w:pPr>
          <w:pStyle w:val="Footer"/>
          <w:jc w:val="right"/>
        </w:pPr>
        <w:r>
          <w:fldChar w:fldCharType="begin"/>
        </w:r>
        <w:r>
          <w:instrText xml:space="preserve"> PAGE   \* MERGEFORMAT </w:instrText>
        </w:r>
        <w:r>
          <w:fldChar w:fldCharType="separate"/>
        </w:r>
        <w:r w:rsidR="00A36EB6">
          <w:rPr>
            <w:noProof/>
          </w:rPr>
          <w:t>10</w:t>
        </w:r>
        <w:r>
          <w:rPr>
            <w:noProof/>
          </w:rPr>
          <w:fldChar w:fldCharType="end"/>
        </w:r>
      </w:p>
    </w:sdtContent>
  </w:sdt>
  <w:p w:rsidR="00F7759E" w:rsidRDefault="00F7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1D" w:rsidRDefault="00E0431D" w:rsidP="0055577C">
      <w:pPr>
        <w:spacing w:after="0" w:line="240" w:lineRule="auto"/>
      </w:pPr>
      <w:r>
        <w:separator/>
      </w:r>
    </w:p>
  </w:footnote>
  <w:footnote w:type="continuationSeparator" w:id="0">
    <w:p w:rsidR="00E0431D" w:rsidRDefault="00E0431D" w:rsidP="0055577C">
      <w:pPr>
        <w:spacing w:after="0" w:line="240" w:lineRule="auto"/>
      </w:pPr>
      <w:r>
        <w:continuationSeparator/>
      </w:r>
    </w:p>
  </w:footnote>
  <w:footnote w:id="1">
    <w:p w:rsidR="005558F0" w:rsidRPr="001B5444" w:rsidRDefault="005558F0"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Pr="001B5444">
        <w:rPr>
          <w:rFonts w:cstheme="minorHAnsi"/>
          <w:lang w:val="en-US"/>
        </w:rPr>
        <w:t xml:space="preserve">See </w:t>
      </w:r>
      <w:r w:rsidRPr="001B5444">
        <w:rPr>
          <w:rFonts w:eastAsia="Times New Roman" w:cstheme="minorHAnsi"/>
          <w:lang w:val="en-ZA" w:eastAsia="en-ZA"/>
        </w:rPr>
        <w:t>“</w:t>
      </w:r>
      <w:proofErr w:type="spellStart"/>
      <w:r w:rsidRPr="001B5444">
        <w:rPr>
          <w:rFonts w:eastAsia="Times New Roman" w:cstheme="minorHAnsi"/>
          <w:lang w:val="en-ZA" w:eastAsia="en-ZA"/>
        </w:rPr>
        <w:t>Mnangagwa</w:t>
      </w:r>
      <w:proofErr w:type="spellEnd"/>
      <w:r w:rsidRPr="001B5444">
        <w:rPr>
          <w:rFonts w:eastAsia="Times New Roman" w:cstheme="minorHAnsi"/>
          <w:lang w:val="en-ZA" w:eastAsia="en-ZA"/>
        </w:rPr>
        <w:t xml:space="preserve"> hit again: new PG faces axe” </w:t>
      </w:r>
      <w:r w:rsidRPr="001B5444">
        <w:rPr>
          <w:rFonts w:eastAsia="Times New Roman" w:cstheme="minorHAnsi"/>
          <w:i/>
          <w:lang w:val="en-ZA" w:eastAsia="en-ZA"/>
        </w:rPr>
        <w:t>The Standard</w:t>
      </w:r>
      <w:r w:rsidRPr="001B5444">
        <w:rPr>
          <w:rFonts w:eastAsia="Times New Roman" w:cstheme="minorHAnsi"/>
          <w:lang w:val="en-ZA" w:eastAsia="en-ZA"/>
        </w:rPr>
        <w:t xml:space="preserve">, 17 September 2017, </w:t>
      </w:r>
      <w:hyperlink r:id="rId1" w:history="1">
        <w:r w:rsidRPr="001B5444">
          <w:rPr>
            <w:rStyle w:val="Hyperlink"/>
            <w:rFonts w:cstheme="minorHAnsi"/>
            <w:color w:val="auto"/>
            <w:lang w:val="en-US"/>
          </w:rPr>
          <w:t>https://www.thestandard.co.zw/2017/09/17/mnangagwa-hit-new-pg-faces-axe/</w:t>
        </w:r>
      </w:hyperlink>
      <w:r w:rsidRPr="001B5444">
        <w:rPr>
          <w:rFonts w:cstheme="minorHAnsi"/>
          <w:lang w:val="en-US"/>
        </w:rPr>
        <w:t>.</w:t>
      </w:r>
    </w:p>
  </w:footnote>
  <w:footnote w:id="2">
    <w:p w:rsidR="005558F0" w:rsidRPr="001B5444" w:rsidRDefault="005558F0"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Pr="001B5444">
        <w:rPr>
          <w:rFonts w:cstheme="minorHAnsi"/>
          <w:lang w:val="en-US"/>
        </w:rPr>
        <w:t xml:space="preserve">Ibid. </w:t>
      </w:r>
    </w:p>
  </w:footnote>
  <w:footnote w:id="3">
    <w:p w:rsidR="00DB66D9" w:rsidRPr="001B5444" w:rsidRDefault="00DB66D9"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Pr="001B5444">
        <w:rPr>
          <w:rFonts w:cstheme="minorHAnsi"/>
          <w:lang w:val="en-US"/>
        </w:rPr>
        <w:t xml:space="preserve">Ibid. </w:t>
      </w:r>
    </w:p>
  </w:footnote>
  <w:footnote w:id="4">
    <w:p w:rsidR="0055577C" w:rsidRPr="001B5444" w:rsidRDefault="0055577C" w:rsidP="001B5444">
      <w:pPr>
        <w:pStyle w:val="Heading1"/>
        <w:shd w:val="clear" w:color="auto" w:fill="FFFFFF"/>
        <w:spacing w:before="0" w:beforeAutospacing="0" w:after="120" w:afterAutospacing="0" w:line="276" w:lineRule="auto"/>
        <w:jc w:val="both"/>
        <w:rPr>
          <w:rFonts w:asciiTheme="minorHAnsi" w:hAnsiTheme="minorHAnsi" w:cstheme="minorHAnsi"/>
          <w:b w:val="0"/>
          <w:bCs w:val="0"/>
          <w:sz w:val="20"/>
          <w:szCs w:val="20"/>
        </w:rPr>
      </w:pPr>
      <w:r w:rsidRPr="001B5444">
        <w:rPr>
          <w:rStyle w:val="FootnoteReference"/>
          <w:rFonts w:asciiTheme="minorHAnsi" w:hAnsiTheme="minorHAnsi" w:cstheme="minorHAnsi"/>
          <w:b w:val="0"/>
          <w:sz w:val="20"/>
          <w:szCs w:val="20"/>
        </w:rPr>
        <w:footnoteRef/>
      </w:r>
      <w:r w:rsidRPr="001B5444">
        <w:rPr>
          <w:rFonts w:asciiTheme="minorHAnsi" w:hAnsiTheme="minorHAnsi" w:cstheme="minorHAnsi"/>
          <w:b w:val="0"/>
          <w:sz w:val="20"/>
          <w:szCs w:val="20"/>
        </w:rPr>
        <w:t xml:space="preserve"> </w:t>
      </w:r>
      <w:r w:rsidRPr="001B5444">
        <w:rPr>
          <w:rFonts w:asciiTheme="minorHAnsi" w:hAnsiTheme="minorHAnsi" w:cstheme="minorHAnsi"/>
          <w:b w:val="0"/>
          <w:bCs w:val="0"/>
          <w:i/>
          <w:sz w:val="20"/>
          <w:szCs w:val="20"/>
        </w:rPr>
        <w:t>In Re: Prosecutor General of Zimbabwe on his Constitutional Independence and Protection from Direction and Control</w:t>
      </w:r>
      <w:r w:rsidRPr="001B5444">
        <w:rPr>
          <w:rFonts w:asciiTheme="minorHAnsi" w:hAnsiTheme="minorHAnsi" w:cstheme="minorHAnsi"/>
          <w:b w:val="0"/>
          <w:bCs w:val="0"/>
          <w:sz w:val="20"/>
          <w:szCs w:val="20"/>
        </w:rPr>
        <w:t xml:space="preserve"> (CCZ 13/2017 Const. Application No. CCZ 8/15) [2017] ZWCC 13 (28 October 2015).</w:t>
      </w:r>
    </w:p>
    <w:p w:rsidR="0055577C" w:rsidRPr="001B5444" w:rsidRDefault="0055577C" w:rsidP="001B5444">
      <w:pPr>
        <w:pStyle w:val="FootnoteText"/>
        <w:spacing w:line="276" w:lineRule="auto"/>
        <w:jc w:val="both"/>
        <w:rPr>
          <w:rFonts w:cstheme="minorHAnsi"/>
          <w:lang w:val="en-US"/>
        </w:rPr>
      </w:pPr>
    </w:p>
  </w:footnote>
  <w:footnote w:id="5">
    <w:p w:rsidR="00F22895" w:rsidRPr="001B5444" w:rsidRDefault="00F22895"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00314DAD" w:rsidRPr="001B5444">
        <w:rPr>
          <w:rFonts w:cstheme="minorHAnsi"/>
        </w:rPr>
        <w:t xml:space="preserve">Opinion issued in 15 January 1958 by United States Attorney General William </w:t>
      </w:r>
      <w:proofErr w:type="spellStart"/>
      <w:r w:rsidR="00314DAD" w:rsidRPr="001B5444">
        <w:rPr>
          <w:rFonts w:cstheme="minorHAnsi"/>
        </w:rPr>
        <w:t>Saxbe</w:t>
      </w:r>
      <w:proofErr w:type="spellEnd"/>
      <w:r w:rsidR="00314DAD" w:rsidRPr="001B5444">
        <w:rPr>
          <w:rFonts w:cstheme="minorHAnsi"/>
        </w:rPr>
        <w:t xml:space="preserve">. Available at </w:t>
      </w:r>
      <w:hyperlink r:id="rId2" w:history="1">
        <w:r w:rsidR="00314DAD" w:rsidRPr="001B5444">
          <w:rPr>
            <w:rStyle w:val="Hyperlink"/>
            <w:rFonts w:cstheme="minorHAnsi"/>
            <w:color w:val="auto"/>
          </w:rPr>
          <w:t>http://www.ohioattorneygeneral.gov/getattachment/79f5d567-325e-4f41-9002-390f0e66a81c/1958-1540.aspx</w:t>
        </w:r>
      </w:hyperlink>
    </w:p>
  </w:footnote>
  <w:footnote w:id="6">
    <w:p w:rsidR="00F87C00" w:rsidRPr="001B5444" w:rsidRDefault="00F87C00"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00314DAD" w:rsidRPr="001B5444">
        <w:rPr>
          <w:rFonts w:cstheme="minorHAnsi"/>
        </w:rPr>
        <w:t xml:space="preserve">Ibid. </w:t>
      </w:r>
      <w:r w:rsidR="006246BD" w:rsidRPr="001B5444">
        <w:rPr>
          <w:rFonts w:cstheme="minorHAnsi"/>
        </w:rPr>
        <w:t xml:space="preserve"> </w:t>
      </w:r>
    </w:p>
  </w:footnote>
  <w:footnote w:id="7">
    <w:p w:rsidR="003B5A9A" w:rsidRPr="001B5444" w:rsidRDefault="003B5A9A" w:rsidP="003B5A9A">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Pr="001B5444">
        <w:rPr>
          <w:rFonts w:cstheme="minorHAnsi"/>
          <w:lang w:val="en-US"/>
        </w:rPr>
        <w:t>This list of cases gores back to the 19</w:t>
      </w:r>
      <w:r w:rsidRPr="001B5444">
        <w:rPr>
          <w:rFonts w:cstheme="minorHAnsi"/>
          <w:vertAlign w:val="superscript"/>
          <w:lang w:val="en-US"/>
        </w:rPr>
        <w:t>th</w:t>
      </w:r>
      <w:r w:rsidRPr="001B5444">
        <w:rPr>
          <w:rFonts w:cstheme="minorHAnsi"/>
          <w:lang w:val="en-US"/>
        </w:rPr>
        <w:t xml:space="preserve"> century: </w:t>
      </w:r>
      <w:r w:rsidRPr="00581D3E">
        <w:rPr>
          <w:rFonts w:cstheme="minorHAnsi"/>
          <w:i/>
        </w:rPr>
        <w:t xml:space="preserve">Margate Pier Co v </w:t>
      </w:r>
      <w:proofErr w:type="spellStart"/>
      <w:r w:rsidRPr="00581D3E">
        <w:rPr>
          <w:rFonts w:cstheme="minorHAnsi"/>
          <w:i/>
        </w:rPr>
        <w:t>Hannam</w:t>
      </w:r>
      <w:proofErr w:type="spellEnd"/>
      <w:r w:rsidRPr="001B5444">
        <w:rPr>
          <w:rFonts w:cstheme="minorHAnsi"/>
        </w:rPr>
        <w:t xml:space="preserve"> (1819) 3 B &amp; </w:t>
      </w:r>
      <w:proofErr w:type="spellStart"/>
      <w:r w:rsidRPr="001B5444">
        <w:rPr>
          <w:rFonts w:cstheme="minorHAnsi"/>
        </w:rPr>
        <w:t>Ald</w:t>
      </w:r>
      <w:proofErr w:type="spellEnd"/>
      <w:r w:rsidRPr="001B5444">
        <w:rPr>
          <w:rFonts w:cstheme="minorHAnsi"/>
        </w:rPr>
        <w:t xml:space="preserve"> 266 at 271 (106 ER 661 at 663): </w:t>
      </w:r>
      <w:r w:rsidRPr="00581D3E">
        <w:rPr>
          <w:rFonts w:cstheme="minorHAnsi"/>
          <w:i/>
        </w:rPr>
        <w:t xml:space="preserve">R v Mayor, </w:t>
      </w:r>
      <w:proofErr w:type="spellStart"/>
      <w:r w:rsidRPr="00581D3E">
        <w:rPr>
          <w:rFonts w:cstheme="minorHAnsi"/>
          <w:i/>
        </w:rPr>
        <w:t>Aldemen</w:t>
      </w:r>
      <w:proofErr w:type="spellEnd"/>
      <w:r w:rsidRPr="00581D3E">
        <w:rPr>
          <w:rFonts w:cstheme="minorHAnsi"/>
          <w:i/>
        </w:rPr>
        <w:t xml:space="preserve"> and Burgesses of the Borough of Cambridge</w:t>
      </w:r>
      <w:r w:rsidRPr="001B5444">
        <w:rPr>
          <w:rFonts w:cstheme="minorHAnsi"/>
        </w:rPr>
        <w:t xml:space="preserve"> (1 840) 12 Ad &amp; E 702 (1 13 ER 980). See generally CL </w:t>
      </w:r>
      <w:proofErr w:type="spellStart"/>
      <w:r w:rsidRPr="001B5444">
        <w:rPr>
          <w:rFonts w:cstheme="minorHAnsi"/>
        </w:rPr>
        <w:t>Pannam</w:t>
      </w:r>
      <w:proofErr w:type="spellEnd"/>
      <w:r w:rsidRPr="001B5444">
        <w:rPr>
          <w:rFonts w:cstheme="minorHAnsi"/>
        </w:rPr>
        <w:t xml:space="preserve">, "Unconstitutional Statutes and De Facto Officers" (1996) 2 </w:t>
      </w:r>
      <w:r w:rsidRPr="00581D3E">
        <w:rPr>
          <w:rFonts w:cstheme="minorHAnsi"/>
          <w:i/>
        </w:rPr>
        <w:t>F</w:t>
      </w:r>
      <w:r>
        <w:rPr>
          <w:rFonts w:cstheme="minorHAnsi"/>
          <w:i/>
        </w:rPr>
        <w:t>ederal Law Review</w:t>
      </w:r>
      <w:r w:rsidRPr="001B5444">
        <w:rPr>
          <w:rFonts w:cstheme="minorHAnsi"/>
        </w:rPr>
        <w:t xml:space="preserve"> 37 at 434.</w:t>
      </w:r>
    </w:p>
  </w:footnote>
  <w:footnote w:id="8">
    <w:p w:rsidR="000C6121" w:rsidRPr="001B5444" w:rsidRDefault="000C6121" w:rsidP="001B5444">
      <w:pPr>
        <w:pStyle w:val="FootnoteText"/>
        <w:spacing w:line="276" w:lineRule="auto"/>
        <w:jc w:val="both"/>
        <w:rPr>
          <w:rFonts w:cstheme="minorHAnsi"/>
          <w:lang w:val="en-US"/>
        </w:rPr>
      </w:pPr>
      <w:r w:rsidRPr="001B5444">
        <w:rPr>
          <w:rStyle w:val="FootnoteReference"/>
          <w:rFonts w:cstheme="minorHAnsi"/>
        </w:rPr>
        <w:footnoteRef/>
      </w:r>
      <w:r w:rsidRPr="001B5444">
        <w:rPr>
          <w:rFonts w:cstheme="minorHAnsi"/>
        </w:rPr>
        <w:t xml:space="preserve"> </w:t>
      </w:r>
      <w:r w:rsidR="005F4AF6" w:rsidRPr="001B5444">
        <w:rPr>
          <w:rFonts w:cstheme="minorHAnsi"/>
        </w:rPr>
        <w:t xml:space="preserve">Enid Campbell </w:t>
      </w:r>
      <w:r w:rsidR="00EA1E10" w:rsidRPr="001B5444">
        <w:rPr>
          <w:rFonts w:cstheme="minorHAnsi"/>
        </w:rPr>
        <w:t xml:space="preserve">‘Oaths and Affirmations of Public Office’ (1999) 25(1) </w:t>
      </w:r>
      <w:r w:rsidR="00EA1E10" w:rsidRPr="001B5444">
        <w:rPr>
          <w:rFonts w:cstheme="minorHAnsi"/>
          <w:i/>
        </w:rPr>
        <w:t>Monash University Law Review</w:t>
      </w:r>
      <w:r w:rsidR="00EA1E10" w:rsidRPr="001B5444">
        <w:rPr>
          <w:rFonts w:cstheme="minorHAnsi"/>
        </w:rPr>
        <w:t xml:space="preserve"> 132, </w:t>
      </w:r>
      <w:r w:rsidRPr="001B5444">
        <w:rPr>
          <w:rFonts w:cstheme="minorHAnsi"/>
          <w:lang w:val="en-US"/>
        </w:rPr>
        <w:t xml:space="preserve">154-155, citing </w:t>
      </w:r>
      <w:r w:rsidRPr="001B5444">
        <w:rPr>
          <w:rFonts w:cstheme="minorHAnsi"/>
        </w:rPr>
        <w:t xml:space="preserve">E Campbell, "De Facto Officers" (1994) 2 </w:t>
      </w:r>
      <w:r w:rsidRPr="001B5444">
        <w:rPr>
          <w:rFonts w:cstheme="minorHAnsi"/>
          <w:i/>
        </w:rPr>
        <w:t xml:space="preserve">A </w:t>
      </w:r>
      <w:proofErr w:type="spellStart"/>
      <w:r w:rsidRPr="001B5444">
        <w:rPr>
          <w:rFonts w:cstheme="minorHAnsi"/>
          <w:i/>
        </w:rPr>
        <w:t>JAdmin</w:t>
      </w:r>
      <w:proofErr w:type="spellEnd"/>
      <w:r w:rsidRPr="001B5444">
        <w:rPr>
          <w:rFonts w:cstheme="minorHAnsi"/>
          <w:i/>
        </w:rPr>
        <w:t xml:space="preserve"> L</w:t>
      </w:r>
      <w:r w:rsidRPr="001B5444">
        <w:rPr>
          <w:rFonts w:cstheme="minorHAnsi"/>
        </w:rPr>
        <w:t xml:space="preserv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293"/>
    <w:multiLevelType w:val="hybridMultilevel"/>
    <w:tmpl w:val="92CC4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C3"/>
    <w:rsid w:val="000064E6"/>
    <w:rsid w:val="00012CCC"/>
    <w:rsid w:val="00014789"/>
    <w:rsid w:val="00021F42"/>
    <w:rsid w:val="00022859"/>
    <w:rsid w:val="00024A3D"/>
    <w:rsid w:val="0005014A"/>
    <w:rsid w:val="00052A2F"/>
    <w:rsid w:val="000640D7"/>
    <w:rsid w:val="0007655E"/>
    <w:rsid w:val="000B2003"/>
    <w:rsid w:val="000B4D5F"/>
    <w:rsid w:val="000C6121"/>
    <w:rsid w:val="000D11F7"/>
    <w:rsid w:val="00102907"/>
    <w:rsid w:val="0011278E"/>
    <w:rsid w:val="001263B4"/>
    <w:rsid w:val="00162F4F"/>
    <w:rsid w:val="00184839"/>
    <w:rsid w:val="00187543"/>
    <w:rsid w:val="00195E2A"/>
    <w:rsid w:val="001B5444"/>
    <w:rsid w:val="001B5759"/>
    <w:rsid w:val="001B7F42"/>
    <w:rsid w:val="001E4278"/>
    <w:rsid w:val="001F6183"/>
    <w:rsid w:val="002007C3"/>
    <w:rsid w:val="0021111F"/>
    <w:rsid w:val="002142B2"/>
    <w:rsid w:val="00256C91"/>
    <w:rsid w:val="00261771"/>
    <w:rsid w:val="00264D90"/>
    <w:rsid w:val="002806D6"/>
    <w:rsid w:val="002B58DE"/>
    <w:rsid w:val="002C4986"/>
    <w:rsid w:val="002E58C5"/>
    <w:rsid w:val="003021AF"/>
    <w:rsid w:val="00305AF1"/>
    <w:rsid w:val="00314DAD"/>
    <w:rsid w:val="0032485A"/>
    <w:rsid w:val="0032515A"/>
    <w:rsid w:val="00330C0B"/>
    <w:rsid w:val="00351C84"/>
    <w:rsid w:val="00357AED"/>
    <w:rsid w:val="003625B5"/>
    <w:rsid w:val="00362A2C"/>
    <w:rsid w:val="0036546F"/>
    <w:rsid w:val="00366244"/>
    <w:rsid w:val="00366AF1"/>
    <w:rsid w:val="003B5A9A"/>
    <w:rsid w:val="003D5DD1"/>
    <w:rsid w:val="00422C6F"/>
    <w:rsid w:val="00455973"/>
    <w:rsid w:val="00470CE7"/>
    <w:rsid w:val="00487571"/>
    <w:rsid w:val="004926F4"/>
    <w:rsid w:val="004A02D5"/>
    <w:rsid w:val="004D1278"/>
    <w:rsid w:val="004D50BE"/>
    <w:rsid w:val="004E79D4"/>
    <w:rsid w:val="004F6E03"/>
    <w:rsid w:val="00521ED0"/>
    <w:rsid w:val="00545AF2"/>
    <w:rsid w:val="00552A83"/>
    <w:rsid w:val="0055577C"/>
    <w:rsid w:val="005558F0"/>
    <w:rsid w:val="005676CC"/>
    <w:rsid w:val="005762D2"/>
    <w:rsid w:val="00576A6F"/>
    <w:rsid w:val="00581D3E"/>
    <w:rsid w:val="005E4190"/>
    <w:rsid w:val="005E479D"/>
    <w:rsid w:val="005E617F"/>
    <w:rsid w:val="005F3034"/>
    <w:rsid w:val="005F4AF6"/>
    <w:rsid w:val="0061360E"/>
    <w:rsid w:val="006246BD"/>
    <w:rsid w:val="006258C3"/>
    <w:rsid w:val="00632953"/>
    <w:rsid w:val="006503D7"/>
    <w:rsid w:val="00667298"/>
    <w:rsid w:val="00677971"/>
    <w:rsid w:val="0069065C"/>
    <w:rsid w:val="006A2C27"/>
    <w:rsid w:val="006C42E8"/>
    <w:rsid w:val="006D2DFE"/>
    <w:rsid w:val="006F32E1"/>
    <w:rsid w:val="007013F0"/>
    <w:rsid w:val="00742BAA"/>
    <w:rsid w:val="00742D0E"/>
    <w:rsid w:val="00744509"/>
    <w:rsid w:val="007456BE"/>
    <w:rsid w:val="00781830"/>
    <w:rsid w:val="007865C0"/>
    <w:rsid w:val="007A1084"/>
    <w:rsid w:val="007A7EAD"/>
    <w:rsid w:val="007C1C9B"/>
    <w:rsid w:val="007D2A13"/>
    <w:rsid w:val="007D3435"/>
    <w:rsid w:val="007D602C"/>
    <w:rsid w:val="007E03E7"/>
    <w:rsid w:val="008028A2"/>
    <w:rsid w:val="00810CAD"/>
    <w:rsid w:val="00823891"/>
    <w:rsid w:val="00825E7A"/>
    <w:rsid w:val="00827379"/>
    <w:rsid w:val="00832C66"/>
    <w:rsid w:val="00846D02"/>
    <w:rsid w:val="00893439"/>
    <w:rsid w:val="008C1238"/>
    <w:rsid w:val="00906C38"/>
    <w:rsid w:val="00911077"/>
    <w:rsid w:val="00940E1D"/>
    <w:rsid w:val="00941391"/>
    <w:rsid w:val="00953D1A"/>
    <w:rsid w:val="00966243"/>
    <w:rsid w:val="00973F91"/>
    <w:rsid w:val="00985CCD"/>
    <w:rsid w:val="009B22CE"/>
    <w:rsid w:val="009B31C4"/>
    <w:rsid w:val="009C3A43"/>
    <w:rsid w:val="009D06E3"/>
    <w:rsid w:val="009E115E"/>
    <w:rsid w:val="009E5FB0"/>
    <w:rsid w:val="009F0278"/>
    <w:rsid w:val="009F52DC"/>
    <w:rsid w:val="00A36EB6"/>
    <w:rsid w:val="00A82FE3"/>
    <w:rsid w:val="00AA6AC0"/>
    <w:rsid w:val="00AA77FE"/>
    <w:rsid w:val="00AB690D"/>
    <w:rsid w:val="00AC2D66"/>
    <w:rsid w:val="00AC75EA"/>
    <w:rsid w:val="00AD14B2"/>
    <w:rsid w:val="00AD27CE"/>
    <w:rsid w:val="00AE1FBC"/>
    <w:rsid w:val="00B10CA8"/>
    <w:rsid w:val="00B301D0"/>
    <w:rsid w:val="00B43AED"/>
    <w:rsid w:val="00B74AC4"/>
    <w:rsid w:val="00BB4EFE"/>
    <w:rsid w:val="00BC5BAC"/>
    <w:rsid w:val="00BF11DD"/>
    <w:rsid w:val="00C31D33"/>
    <w:rsid w:val="00C36D1E"/>
    <w:rsid w:val="00C4261F"/>
    <w:rsid w:val="00C466B8"/>
    <w:rsid w:val="00C53643"/>
    <w:rsid w:val="00C66B7A"/>
    <w:rsid w:val="00C73ED7"/>
    <w:rsid w:val="00CA1398"/>
    <w:rsid w:val="00CC683B"/>
    <w:rsid w:val="00D00111"/>
    <w:rsid w:val="00D300B9"/>
    <w:rsid w:val="00D34283"/>
    <w:rsid w:val="00D77769"/>
    <w:rsid w:val="00D82C4C"/>
    <w:rsid w:val="00D9633F"/>
    <w:rsid w:val="00DB3706"/>
    <w:rsid w:val="00DB66D9"/>
    <w:rsid w:val="00DD43C1"/>
    <w:rsid w:val="00DF6335"/>
    <w:rsid w:val="00E03633"/>
    <w:rsid w:val="00E0431D"/>
    <w:rsid w:val="00E25E88"/>
    <w:rsid w:val="00E37285"/>
    <w:rsid w:val="00E459D2"/>
    <w:rsid w:val="00E531E5"/>
    <w:rsid w:val="00E93736"/>
    <w:rsid w:val="00EA1E10"/>
    <w:rsid w:val="00EC4B62"/>
    <w:rsid w:val="00EC7CD4"/>
    <w:rsid w:val="00ED1F94"/>
    <w:rsid w:val="00EE0BA9"/>
    <w:rsid w:val="00F22895"/>
    <w:rsid w:val="00F25C2B"/>
    <w:rsid w:val="00F40883"/>
    <w:rsid w:val="00F4110B"/>
    <w:rsid w:val="00F4469D"/>
    <w:rsid w:val="00F61F67"/>
    <w:rsid w:val="00F7759E"/>
    <w:rsid w:val="00F87C00"/>
    <w:rsid w:val="00FA2839"/>
    <w:rsid w:val="00FC2AC0"/>
    <w:rsid w:val="00FE0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8632"/>
  <w15:chartTrackingRefBased/>
  <w15:docId w15:val="{D96244E6-5ACA-465D-9BD9-8D54489E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ZW"/>
    </w:rPr>
  </w:style>
  <w:style w:type="paragraph" w:styleId="Heading1">
    <w:name w:val="heading 1"/>
    <w:basedOn w:val="Normal"/>
    <w:link w:val="Heading1Char"/>
    <w:uiPriority w:val="9"/>
    <w:qFormat/>
    <w:rsid w:val="005557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0B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noteText">
    <w:name w:val="footnote text"/>
    <w:basedOn w:val="Normal"/>
    <w:link w:val="FootnoteTextChar"/>
    <w:uiPriority w:val="99"/>
    <w:semiHidden/>
    <w:unhideWhenUsed/>
    <w:rsid w:val="00555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77C"/>
    <w:rPr>
      <w:sz w:val="20"/>
      <w:szCs w:val="20"/>
      <w:lang w:val="en-ZW"/>
    </w:rPr>
  </w:style>
  <w:style w:type="character" w:styleId="FootnoteReference">
    <w:name w:val="footnote reference"/>
    <w:basedOn w:val="DefaultParagraphFont"/>
    <w:uiPriority w:val="99"/>
    <w:semiHidden/>
    <w:unhideWhenUsed/>
    <w:rsid w:val="0055577C"/>
    <w:rPr>
      <w:vertAlign w:val="superscript"/>
    </w:rPr>
  </w:style>
  <w:style w:type="character" w:customStyle="1" w:styleId="Heading1Char">
    <w:name w:val="Heading 1 Char"/>
    <w:basedOn w:val="DefaultParagraphFont"/>
    <w:link w:val="Heading1"/>
    <w:uiPriority w:val="9"/>
    <w:rsid w:val="0055577C"/>
    <w:rPr>
      <w:rFonts w:ascii="Times New Roman" w:eastAsia="Times New Roman" w:hAnsi="Times New Roman" w:cs="Times New Roman"/>
      <w:b/>
      <w:bCs/>
      <w:kern w:val="36"/>
      <w:sz w:val="48"/>
      <w:szCs w:val="48"/>
      <w:lang w:eastAsia="en-ZA"/>
    </w:rPr>
  </w:style>
  <w:style w:type="paragraph" w:styleId="ListParagraph">
    <w:name w:val="List Paragraph"/>
    <w:basedOn w:val="Normal"/>
    <w:uiPriority w:val="34"/>
    <w:qFormat/>
    <w:rsid w:val="00DF6335"/>
    <w:pPr>
      <w:ind w:left="720"/>
      <w:contextualSpacing/>
    </w:pPr>
  </w:style>
  <w:style w:type="character" w:styleId="Hyperlink">
    <w:name w:val="Hyperlink"/>
    <w:basedOn w:val="DefaultParagraphFont"/>
    <w:uiPriority w:val="99"/>
    <w:unhideWhenUsed/>
    <w:rsid w:val="005558F0"/>
    <w:rPr>
      <w:color w:val="0563C1" w:themeColor="hyperlink"/>
      <w:u w:val="single"/>
    </w:rPr>
  </w:style>
  <w:style w:type="paragraph" w:styleId="Header">
    <w:name w:val="header"/>
    <w:basedOn w:val="Normal"/>
    <w:link w:val="HeaderChar"/>
    <w:uiPriority w:val="99"/>
    <w:unhideWhenUsed/>
    <w:rsid w:val="0055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8F0"/>
    <w:rPr>
      <w:lang w:val="en-ZW"/>
    </w:rPr>
  </w:style>
  <w:style w:type="paragraph" w:styleId="Footer">
    <w:name w:val="footer"/>
    <w:basedOn w:val="Normal"/>
    <w:link w:val="FooterChar"/>
    <w:uiPriority w:val="99"/>
    <w:unhideWhenUsed/>
    <w:rsid w:val="0055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8F0"/>
    <w:rPr>
      <w:lang w:val="en-ZW"/>
    </w:rPr>
  </w:style>
  <w:style w:type="paragraph" w:customStyle="1" w:styleId="lrsection">
    <w:name w:val="lr section"/>
    <w:basedOn w:val="Normal"/>
    <w:rsid w:val="0069065C"/>
    <w:pPr>
      <w:tabs>
        <w:tab w:val="left" w:pos="369"/>
      </w:tabs>
      <w:overflowPunct w:val="0"/>
      <w:autoSpaceDE w:val="0"/>
      <w:autoSpaceDN w:val="0"/>
      <w:adjustRightInd w:val="0"/>
      <w:spacing w:after="80" w:line="300" w:lineRule="exact"/>
      <w:ind w:firstLine="369"/>
      <w:jc w:val="both"/>
      <w:textAlignment w:val="baseline"/>
    </w:pPr>
    <w:rPr>
      <w:rFonts w:ascii="Times New Roman" w:eastAsia="Times New Roman" w:hAnsi="Times New Roman" w:cs="Times New Roman"/>
      <w:szCs w:val="20"/>
      <w:lang w:val="en-GB"/>
    </w:rPr>
  </w:style>
  <w:style w:type="paragraph" w:customStyle="1" w:styleId="lrpara-a">
    <w:name w:val="lr para-a"/>
    <w:basedOn w:val="Normal"/>
    <w:rsid w:val="0069065C"/>
    <w:pPr>
      <w:tabs>
        <w:tab w:val="right" w:pos="680"/>
        <w:tab w:val="left" w:pos="822"/>
        <w:tab w:val="left" w:pos="1276"/>
      </w:tabs>
      <w:overflowPunct w:val="0"/>
      <w:autoSpaceDE w:val="0"/>
      <w:autoSpaceDN w:val="0"/>
      <w:adjustRightInd w:val="0"/>
      <w:spacing w:after="80" w:line="300" w:lineRule="exact"/>
      <w:ind w:left="822" w:hanging="822"/>
      <w:jc w:val="both"/>
      <w:textAlignment w:val="baseline"/>
    </w:pPr>
    <w:rPr>
      <w:rFonts w:ascii="Times New Roman" w:eastAsia="Times New Roman" w:hAnsi="Times New Roman" w:cs="Times New Roman"/>
      <w:szCs w:val="20"/>
      <w:lang w:val="en-GB"/>
    </w:rPr>
  </w:style>
  <w:style w:type="paragraph" w:customStyle="1" w:styleId="lrpara-i">
    <w:name w:val="lr para-i"/>
    <w:basedOn w:val="Normal"/>
    <w:rsid w:val="0069065C"/>
    <w:pPr>
      <w:tabs>
        <w:tab w:val="right" w:pos="1276"/>
        <w:tab w:val="left" w:pos="1474"/>
        <w:tab w:val="left" w:pos="1899"/>
      </w:tabs>
      <w:overflowPunct w:val="0"/>
      <w:autoSpaceDE w:val="0"/>
      <w:autoSpaceDN w:val="0"/>
      <w:adjustRightInd w:val="0"/>
      <w:spacing w:after="80" w:line="300" w:lineRule="exact"/>
      <w:ind w:left="1474" w:hanging="1474"/>
      <w:jc w:val="both"/>
      <w:textAlignment w:val="baseline"/>
    </w:pPr>
    <w:rPr>
      <w:rFonts w:ascii="Times New Roman" w:eastAsia="Times New Roman" w:hAnsi="Times New Roman" w:cs="Times New Roman"/>
      <w:szCs w:val="20"/>
      <w:lang w:val="en-GB"/>
    </w:rPr>
  </w:style>
  <w:style w:type="paragraph" w:customStyle="1" w:styleId="lrsecthead">
    <w:name w:val="lr secthead"/>
    <w:basedOn w:val="Normal"/>
    <w:next w:val="lrsection"/>
    <w:rsid w:val="0069065C"/>
    <w:pPr>
      <w:keepNext/>
      <w:keepLines/>
      <w:tabs>
        <w:tab w:val="left" w:pos="369"/>
      </w:tabs>
      <w:overflowPunct w:val="0"/>
      <w:autoSpaceDE w:val="0"/>
      <w:autoSpaceDN w:val="0"/>
      <w:adjustRightInd w:val="0"/>
      <w:spacing w:before="120" w:after="80" w:line="300" w:lineRule="exact"/>
      <w:ind w:left="369" w:hanging="369"/>
      <w:textAlignment w:val="baseline"/>
    </w:pPr>
    <w:rPr>
      <w:rFonts w:ascii="Arial" w:eastAsia="Times New Roman" w:hAnsi="Arial" w:cs="Times New Roman"/>
      <w:b/>
      <w:szCs w:val="20"/>
      <w:lang w:val="en-GB"/>
    </w:rPr>
  </w:style>
  <w:style w:type="paragraph" w:customStyle="1" w:styleId="lrsectionend">
    <w:name w:val="lr section end"/>
    <w:basedOn w:val="Normal"/>
    <w:rsid w:val="002C4986"/>
    <w:pPr>
      <w:tabs>
        <w:tab w:val="left" w:pos="369"/>
      </w:tabs>
      <w:overflowPunct w:val="0"/>
      <w:autoSpaceDE w:val="0"/>
      <w:autoSpaceDN w:val="0"/>
      <w:adjustRightInd w:val="0"/>
      <w:spacing w:after="80" w:line="300" w:lineRule="exact"/>
      <w:jc w:val="both"/>
      <w:textAlignment w:val="baseline"/>
    </w:pPr>
    <w:rPr>
      <w:rFonts w:ascii="Times New Roman" w:eastAsia="Times New Roman" w:hAnsi="Times New Roman" w:cs="Times New Roman"/>
      <w:szCs w:val="20"/>
      <w:lang w:val="en-GB"/>
    </w:rPr>
  </w:style>
  <w:style w:type="paragraph" w:customStyle="1" w:styleId="LRPARTTITLE">
    <w:name w:val="LR PARTTITLE"/>
    <w:basedOn w:val="Normal"/>
    <w:next w:val="lrsecthead"/>
    <w:rsid w:val="002E58C5"/>
    <w:pPr>
      <w:tabs>
        <w:tab w:val="left" w:pos="426"/>
      </w:tabs>
      <w:overflowPunct w:val="0"/>
      <w:autoSpaceDE w:val="0"/>
      <w:autoSpaceDN w:val="0"/>
      <w:adjustRightInd w:val="0"/>
      <w:spacing w:after="120" w:line="300" w:lineRule="exact"/>
      <w:jc w:val="center"/>
      <w:textAlignment w:val="baseline"/>
    </w:pPr>
    <w:rPr>
      <w:rFonts w:ascii="Times New Roman" w:eastAsia="Times New Roman" w:hAnsi="Times New Roman" w:cs="Times New Roman"/>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181">
      <w:bodyDiv w:val="1"/>
      <w:marLeft w:val="0"/>
      <w:marRight w:val="0"/>
      <w:marTop w:val="0"/>
      <w:marBottom w:val="0"/>
      <w:divBdr>
        <w:top w:val="none" w:sz="0" w:space="0" w:color="auto"/>
        <w:left w:val="none" w:sz="0" w:space="0" w:color="auto"/>
        <w:bottom w:val="none" w:sz="0" w:space="0" w:color="auto"/>
        <w:right w:val="none" w:sz="0" w:space="0" w:color="auto"/>
      </w:divBdr>
    </w:div>
    <w:div w:id="71775995">
      <w:bodyDiv w:val="1"/>
      <w:marLeft w:val="0"/>
      <w:marRight w:val="0"/>
      <w:marTop w:val="0"/>
      <w:marBottom w:val="0"/>
      <w:divBdr>
        <w:top w:val="none" w:sz="0" w:space="0" w:color="auto"/>
        <w:left w:val="none" w:sz="0" w:space="0" w:color="auto"/>
        <w:bottom w:val="none" w:sz="0" w:space="0" w:color="auto"/>
        <w:right w:val="none" w:sz="0" w:space="0" w:color="auto"/>
      </w:divBdr>
    </w:div>
    <w:div w:id="1005549245">
      <w:bodyDiv w:val="1"/>
      <w:marLeft w:val="0"/>
      <w:marRight w:val="0"/>
      <w:marTop w:val="0"/>
      <w:marBottom w:val="0"/>
      <w:divBdr>
        <w:top w:val="none" w:sz="0" w:space="0" w:color="auto"/>
        <w:left w:val="none" w:sz="0" w:space="0" w:color="auto"/>
        <w:bottom w:val="none" w:sz="0" w:space="0" w:color="auto"/>
        <w:right w:val="none" w:sz="0" w:space="0" w:color="auto"/>
      </w:divBdr>
    </w:div>
    <w:div w:id="1015300932">
      <w:bodyDiv w:val="1"/>
      <w:marLeft w:val="0"/>
      <w:marRight w:val="0"/>
      <w:marTop w:val="0"/>
      <w:marBottom w:val="0"/>
      <w:divBdr>
        <w:top w:val="none" w:sz="0" w:space="0" w:color="auto"/>
        <w:left w:val="none" w:sz="0" w:space="0" w:color="auto"/>
        <w:bottom w:val="none" w:sz="0" w:space="0" w:color="auto"/>
        <w:right w:val="none" w:sz="0" w:space="0" w:color="auto"/>
      </w:divBdr>
    </w:div>
    <w:div w:id="1177766665">
      <w:bodyDiv w:val="1"/>
      <w:marLeft w:val="0"/>
      <w:marRight w:val="0"/>
      <w:marTop w:val="0"/>
      <w:marBottom w:val="0"/>
      <w:divBdr>
        <w:top w:val="none" w:sz="0" w:space="0" w:color="auto"/>
        <w:left w:val="none" w:sz="0" w:space="0" w:color="auto"/>
        <w:bottom w:val="none" w:sz="0" w:space="0" w:color="auto"/>
        <w:right w:val="none" w:sz="0" w:space="0" w:color="auto"/>
      </w:divBdr>
      <w:divsChild>
        <w:div w:id="358239509">
          <w:marLeft w:val="0"/>
          <w:marRight w:val="0"/>
          <w:marTop w:val="0"/>
          <w:marBottom w:val="144"/>
          <w:divBdr>
            <w:top w:val="none" w:sz="0" w:space="0" w:color="auto"/>
            <w:left w:val="none" w:sz="0" w:space="0" w:color="auto"/>
            <w:bottom w:val="none" w:sz="0" w:space="0" w:color="auto"/>
            <w:right w:val="none" w:sz="0" w:space="0" w:color="auto"/>
          </w:divBdr>
        </w:div>
      </w:divsChild>
    </w:div>
    <w:div w:id="1418331193">
      <w:bodyDiv w:val="1"/>
      <w:marLeft w:val="0"/>
      <w:marRight w:val="0"/>
      <w:marTop w:val="0"/>
      <w:marBottom w:val="0"/>
      <w:divBdr>
        <w:top w:val="none" w:sz="0" w:space="0" w:color="auto"/>
        <w:left w:val="none" w:sz="0" w:space="0" w:color="auto"/>
        <w:bottom w:val="none" w:sz="0" w:space="0" w:color="auto"/>
        <w:right w:val="none" w:sz="0" w:space="0" w:color="auto"/>
      </w:divBdr>
    </w:div>
    <w:div w:id="1838035841">
      <w:bodyDiv w:val="1"/>
      <w:marLeft w:val="0"/>
      <w:marRight w:val="0"/>
      <w:marTop w:val="0"/>
      <w:marBottom w:val="0"/>
      <w:divBdr>
        <w:top w:val="none" w:sz="0" w:space="0" w:color="auto"/>
        <w:left w:val="none" w:sz="0" w:space="0" w:color="auto"/>
        <w:bottom w:val="none" w:sz="0" w:space="0" w:color="auto"/>
        <w:right w:val="none" w:sz="0" w:space="0" w:color="auto"/>
      </w:divBdr>
      <w:divsChild>
        <w:div w:id="961574121">
          <w:marLeft w:val="0"/>
          <w:marRight w:val="0"/>
          <w:marTop w:val="0"/>
          <w:marBottom w:val="0"/>
          <w:divBdr>
            <w:top w:val="none" w:sz="0" w:space="0" w:color="auto"/>
            <w:left w:val="none" w:sz="0" w:space="0" w:color="auto"/>
            <w:bottom w:val="none" w:sz="0" w:space="0" w:color="auto"/>
            <w:right w:val="none" w:sz="0" w:space="0" w:color="auto"/>
          </w:divBdr>
          <w:divsChild>
            <w:div w:id="1185170918">
              <w:marLeft w:val="0"/>
              <w:marRight w:val="0"/>
              <w:marTop w:val="0"/>
              <w:marBottom w:val="0"/>
              <w:divBdr>
                <w:top w:val="none" w:sz="0" w:space="0" w:color="auto"/>
                <w:left w:val="none" w:sz="0" w:space="0" w:color="auto"/>
                <w:bottom w:val="none" w:sz="0" w:space="0" w:color="auto"/>
                <w:right w:val="none" w:sz="0" w:space="0" w:color="auto"/>
              </w:divBdr>
            </w:div>
            <w:div w:id="456222537">
              <w:marLeft w:val="0"/>
              <w:marRight w:val="0"/>
              <w:marTop w:val="0"/>
              <w:marBottom w:val="0"/>
              <w:divBdr>
                <w:top w:val="none" w:sz="0" w:space="0" w:color="auto"/>
                <w:left w:val="none" w:sz="0" w:space="0" w:color="auto"/>
                <w:bottom w:val="none" w:sz="0" w:space="0" w:color="auto"/>
                <w:right w:val="none" w:sz="0" w:space="0" w:color="auto"/>
              </w:divBdr>
            </w:div>
            <w:div w:id="1971590841">
              <w:marLeft w:val="0"/>
              <w:marRight w:val="0"/>
              <w:marTop w:val="0"/>
              <w:marBottom w:val="0"/>
              <w:divBdr>
                <w:top w:val="none" w:sz="0" w:space="0" w:color="auto"/>
                <w:left w:val="none" w:sz="0" w:space="0" w:color="auto"/>
                <w:bottom w:val="none" w:sz="0" w:space="0" w:color="auto"/>
                <w:right w:val="none" w:sz="0" w:space="0" w:color="auto"/>
              </w:divBdr>
            </w:div>
          </w:divsChild>
        </w:div>
        <w:div w:id="1039554195">
          <w:marLeft w:val="0"/>
          <w:marRight w:val="0"/>
          <w:marTop w:val="0"/>
          <w:marBottom w:val="0"/>
          <w:divBdr>
            <w:top w:val="none" w:sz="0" w:space="0" w:color="auto"/>
            <w:left w:val="none" w:sz="0" w:space="0" w:color="auto"/>
            <w:bottom w:val="none" w:sz="0" w:space="0" w:color="auto"/>
            <w:right w:val="none" w:sz="0" w:space="0" w:color="auto"/>
          </w:divBdr>
        </w:div>
        <w:div w:id="1309044857">
          <w:marLeft w:val="0"/>
          <w:marRight w:val="0"/>
          <w:marTop w:val="0"/>
          <w:marBottom w:val="0"/>
          <w:divBdr>
            <w:top w:val="none" w:sz="0" w:space="0" w:color="auto"/>
            <w:left w:val="none" w:sz="0" w:space="0" w:color="auto"/>
            <w:bottom w:val="none" w:sz="0" w:space="0" w:color="auto"/>
            <w:right w:val="none" w:sz="0" w:space="0" w:color="auto"/>
          </w:divBdr>
          <w:divsChild>
            <w:div w:id="16232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ki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ika@llm17.law.harvard.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hioattorneygeneral.gov/getattachment/79f5d567-325e-4f41-9002-390f0e66a81c/1958-1540.aspx" TargetMode="External"/><Relationship Id="rId1" Type="http://schemas.openxmlformats.org/officeDocument/2006/relationships/hyperlink" Target="https://www.thestandard.co.zw/2017/09/17/mnangagwa-hit-new-pg-faces-a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F442-E4FA-4924-9145-CC2DAA83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Kika</dc:creator>
  <cp:keywords/>
  <dc:description/>
  <cp:lastModifiedBy>Amanda Atwood</cp:lastModifiedBy>
  <cp:revision>3</cp:revision>
  <dcterms:created xsi:type="dcterms:W3CDTF">2017-11-03T10:58:00Z</dcterms:created>
  <dcterms:modified xsi:type="dcterms:W3CDTF">2017-11-03T10:58:00Z</dcterms:modified>
</cp:coreProperties>
</file>