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9A339" w14:textId="77777777" w:rsidR="002E682C" w:rsidRDefault="00B04AC6" w:rsidP="00D439AE">
      <w:pPr>
        <w:jc w:val="both"/>
        <w:rPr>
          <w:rFonts w:cstheme="minorHAnsi"/>
          <w:b/>
          <w:sz w:val="24"/>
          <w:szCs w:val="24"/>
          <w:lang w:val="en-ZA"/>
        </w:rPr>
      </w:pPr>
      <w:bookmarkStart w:id="0" w:name="_GoBack"/>
      <w:bookmarkEnd w:id="0"/>
      <w:r>
        <w:rPr>
          <w:rFonts w:cstheme="minorHAnsi"/>
          <w:b/>
          <w:sz w:val="24"/>
          <w:szCs w:val="24"/>
          <w:lang w:val="en-ZA"/>
        </w:rPr>
        <w:t xml:space="preserve">                                                          </w:t>
      </w:r>
      <w:r w:rsidR="002E682C" w:rsidRPr="00E865A1">
        <w:rPr>
          <w:rFonts w:ascii="Times New Roman" w:eastAsia="Times New Roman" w:hAnsi="Times New Roman" w:cs="Times New Roman"/>
          <w:noProof/>
          <w:sz w:val="24"/>
          <w:szCs w:val="24"/>
        </w:rPr>
        <w:drawing>
          <wp:inline distT="114300" distB="114300" distL="114300" distR="114300" wp14:anchorId="79565B94" wp14:editId="01043DF2">
            <wp:extent cx="2103120" cy="80772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103550" cy="807885"/>
                    </a:xfrm>
                    <a:prstGeom prst="rect">
                      <a:avLst/>
                    </a:prstGeom>
                    <a:ln/>
                  </pic:spPr>
                </pic:pic>
              </a:graphicData>
            </a:graphic>
          </wp:inline>
        </w:drawing>
      </w:r>
    </w:p>
    <w:p w14:paraId="5297BA0B" w14:textId="77777777" w:rsidR="00B04AC6" w:rsidRDefault="00B04AC6" w:rsidP="005A1CAD">
      <w:pPr>
        <w:ind w:left="1440" w:firstLine="720"/>
        <w:jc w:val="both"/>
        <w:rPr>
          <w:rFonts w:cstheme="minorHAnsi"/>
          <w:b/>
          <w:sz w:val="40"/>
          <w:szCs w:val="40"/>
          <w:lang w:val="en-ZA"/>
        </w:rPr>
      </w:pPr>
    </w:p>
    <w:p w14:paraId="21C906E6" w14:textId="77777777" w:rsidR="00B327E9" w:rsidRPr="005A1CAD" w:rsidRDefault="00A70176" w:rsidP="005A1CAD">
      <w:pPr>
        <w:ind w:left="1440" w:firstLine="720"/>
        <w:jc w:val="both"/>
        <w:rPr>
          <w:rFonts w:cstheme="minorHAnsi"/>
          <w:b/>
          <w:sz w:val="40"/>
          <w:szCs w:val="40"/>
          <w:lang w:val="en-ZA"/>
        </w:rPr>
      </w:pPr>
      <w:r w:rsidRPr="005A1CAD">
        <w:rPr>
          <w:rFonts w:cstheme="minorHAnsi"/>
          <w:b/>
          <w:sz w:val="40"/>
          <w:szCs w:val="40"/>
          <w:lang w:val="en-ZA"/>
        </w:rPr>
        <w:t xml:space="preserve">MISA-Zimbabwe </w:t>
      </w:r>
      <w:r w:rsidR="00B327E9" w:rsidRPr="005A1CAD">
        <w:rPr>
          <w:rFonts w:cstheme="minorHAnsi"/>
          <w:b/>
          <w:sz w:val="40"/>
          <w:szCs w:val="40"/>
          <w:lang w:val="en-ZA"/>
        </w:rPr>
        <w:t>Commentary</w:t>
      </w:r>
      <w:r w:rsidR="00F24EC8" w:rsidRPr="005A1CAD">
        <w:rPr>
          <w:rFonts w:cstheme="minorHAnsi"/>
          <w:b/>
          <w:sz w:val="40"/>
          <w:szCs w:val="40"/>
          <w:lang w:val="en-ZA"/>
        </w:rPr>
        <w:t xml:space="preserve"> </w:t>
      </w:r>
    </w:p>
    <w:p w14:paraId="381A634C" w14:textId="77777777" w:rsidR="00B04AC6" w:rsidRDefault="00B04AC6" w:rsidP="00D439AE">
      <w:pPr>
        <w:jc w:val="both"/>
        <w:rPr>
          <w:rFonts w:cstheme="minorHAnsi"/>
          <w:b/>
          <w:sz w:val="40"/>
          <w:szCs w:val="40"/>
          <w:lang w:val="en-ZA"/>
        </w:rPr>
      </w:pPr>
    </w:p>
    <w:p w14:paraId="676027DC" w14:textId="77777777" w:rsidR="00B04AC6" w:rsidRDefault="00B04AC6" w:rsidP="00D439AE">
      <w:pPr>
        <w:jc w:val="both"/>
        <w:rPr>
          <w:rFonts w:cstheme="minorHAnsi"/>
          <w:b/>
          <w:sz w:val="40"/>
          <w:szCs w:val="40"/>
          <w:lang w:val="en-ZA"/>
        </w:rPr>
      </w:pPr>
    </w:p>
    <w:p w14:paraId="6EE6072C" w14:textId="77777777" w:rsidR="00592EEC" w:rsidRPr="005A1CAD" w:rsidRDefault="00F24EC8" w:rsidP="00D439AE">
      <w:pPr>
        <w:jc w:val="both"/>
        <w:rPr>
          <w:rFonts w:cstheme="minorHAnsi"/>
          <w:b/>
          <w:sz w:val="40"/>
          <w:szCs w:val="40"/>
          <w:lang w:val="en-ZA"/>
        </w:rPr>
      </w:pPr>
      <w:r w:rsidRPr="005A1CAD">
        <w:rPr>
          <w:rFonts w:cstheme="minorHAnsi"/>
          <w:b/>
          <w:sz w:val="40"/>
          <w:szCs w:val="40"/>
          <w:lang w:val="en-ZA"/>
        </w:rPr>
        <w:t>Cybersecurity and Data Protection Bill HB 18 of 2019</w:t>
      </w:r>
    </w:p>
    <w:p w14:paraId="09AE248A" w14:textId="77777777" w:rsidR="00AE0043" w:rsidRPr="00946E97" w:rsidRDefault="00AE0043" w:rsidP="00D439AE">
      <w:pPr>
        <w:jc w:val="both"/>
        <w:rPr>
          <w:rFonts w:cstheme="minorHAnsi"/>
          <w:b/>
          <w:sz w:val="24"/>
          <w:szCs w:val="24"/>
          <w:lang w:val="en-ZA"/>
        </w:rPr>
      </w:pPr>
    </w:p>
    <w:sdt>
      <w:sdtPr>
        <w:rPr>
          <w:rFonts w:asciiTheme="minorHAnsi" w:eastAsiaTheme="minorHAnsi" w:hAnsiTheme="minorHAnsi" w:cstheme="minorHAnsi"/>
          <w:color w:val="auto"/>
          <w:sz w:val="24"/>
          <w:szCs w:val="24"/>
        </w:rPr>
        <w:id w:val="1097978257"/>
        <w:docPartObj>
          <w:docPartGallery w:val="Table of Contents"/>
          <w:docPartUnique/>
        </w:docPartObj>
      </w:sdtPr>
      <w:sdtEndPr>
        <w:rPr>
          <w:b/>
          <w:bCs/>
          <w:noProof/>
        </w:rPr>
      </w:sdtEndPr>
      <w:sdtContent>
        <w:p w14:paraId="78BC77DA" w14:textId="77777777" w:rsidR="00AE0043" w:rsidRPr="00946E97" w:rsidRDefault="00AE0043" w:rsidP="00D439AE">
          <w:pPr>
            <w:pStyle w:val="TOCHeading"/>
            <w:jc w:val="both"/>
            <w:rPr>
              <w:rFonts w:asciiTheme="minorHAnsi" w:hAnsiTheme="minorHAnsi" w:cstheme="minorHAnsi"/>
              <w:sz w:val="24"/>
              <w:szCs w:val="24"/>
            </w:rPr>
          </w:pPr>
          <w:r w:rsidRPr="00946E97">
            <w:rPr>
              <w:rFonts w:asciiTheme="minorHAnsi" w:hAnsiTheme="minorHAnsi" w:cstheme="minorHAnsi"/>
              <w:sz w:val="24"/>
              <w:szCs w:val="24"/>
            </w:rPr>
            <w:t>Contents</w:t>
          </w:r>
        </w:p>
        <w:p w14:paraId="714EEF76" w14:textId="77777777" w:rsidR="00B04AC6" w:rsidRDefault="00AE0043">
          <w:pPr>
            <w:pStyle w:val="TOC1"/>
            <w:tabs>
              <w:tab w:val="right" w:leader="dot" w:pos="9350"/>
            </w:tabs>
            <w:rPr>
              <w:rFonts w:eastAsiaTheme="minorEastAsia"/>
              <w:noProof/>
            </w:rPr>
          </w:pPr>
          <w:r w:rsidRPr="00946E97">
            <w:rPr>
              <w:rFonts w:cstheme="minorHAnsi"/>
              <w:sz w:val="24"/>
              <w:szCs w:val="24"/>
            </w:rPr>
            <w:fldChar w:fldCharType="begin"/>
          </w:r>
          <w:r w:rsidRPr="00946E97">
            <w:rPr>
              <w:rFonts w:cstheme="minorHAnsi"/>
              <w:sz w:val="24"/>
              <w:szCs w:val="24"/>
            </w:rPr>
            <w:instrText xml:space="preserve"> TOC \o "1-3" \h \z \u </w:instrText>
          </w:r>
          <w:r w:rsidRPr="00946E97">
            <w:rPr>
              <w:rFonts w:cstheme="minorHAnsi"/>
              <w:sz w:val="24"/>
              <w:szCs w:val="24"/>
            </w:rPr>
            <w:fldChar w:fldCharType="separate"/>
          </w:r>
          <w:hyperlink w:anchor="_Toc43374603" w:history="1">
            <w:r w:rsidR="00B04AC6" w:rsidRPr="00BD1131">
              <w:rPr>
                <w:rStyle w:val="Hyperlink"/>
                <w:rFonts w:cstheme="minorHAnsi"/>
                <w:noProof/>
                <w:lang w:val="en-ZA"/>
              </w:rPr>
              <w:t>INTRODUCTION</w:t>
            </w:r>
            <w:r w:rsidR="00B04AC6">
              <w:rPr>
                <w:noProof/>
                <w:webHidden/>
              </w:rPr>
              <w:tab/>
            </w:r>
            <w:r w:rsidR="00B04AC6">
              <w:rPr>
                <w:noProof/>
                <w:webHidden/>
              </w:rPr>
              <w:fldChar w:fldCharType="begin"/>
            </w:r>
            <w:r w:rsidR="00B04AC6">
              <w:rPr>
                <w:noProof/>
                <w:webHidden/>
              </w:rPr>
              <w:instrText xml:space="preserve"> PAGEREF _Toc43374603 \h </w:instrText>
            </w:r>
            <w:r w:rsidR="00B04AC6">
              <w:rPr>
                <w:noProof/>
                <w:webHidden/>
              </w:rPr>
            </w:r>
            <w:r w:rsidR="00B04AC6">
              <w:rPr>
                <w:noProof/>
                <w:webHidden/>
              </w:rPr>
              <w:fldChar w:fldCharType="separate"/>
            </w:r>
            <w:r w:rsidR="00B04AC6">
              <w:rPr>
                <w:noProof/>
                <w:webHidden/>
              </w:rPr>
              <w:t>2</w:t>
            </w:r>
            <w:r w:rsidR="00B04AC6">
              <w:rPr>
                <w:noProof/>
                <w:webHidden/>
              </w:rPr>
              <w:fldChar w:fldCharType="end"/>
            </w:r>
          </w:hyperlink>
        </w:p>
        <w:p w14:paraId="7C457913" w14:textId="77777777" w:rsidR="00B04AC6" w:rsidRDefault="00841EC8">
          <w:pPr>
            <w:pStyle w:val="TOC1"/>
            <w:tabs>
              <w:tab w:val="right" w:leader="dot" w:pos="9350"/>
            </w:tabs>
            <w:rPr>
              <w:rFonts w:eastAsiaTheme="minorEastAsia"/>
              <w:noProof/>
            </w:rPr>
          </w:pPr>
          <w:hyperlink w:anchor="_Toc43374604" w:history="1">
            <w:r w:rsidR="00B04AC6" w:rsidRPr="00BD1131">
              <w:rPr>
                <w:rStyle w:val="Hyperlink"/>
                <w:rFonts w:cstheme="minorHAnsi"/>
                <w:noProof/>
              </w:rPr>
              <w:t>DECLARATION OF RIGHTS</w:t>
            </w:r>
            <w:r w:rsidR="00B04AC6">
              <w:rPr>
                <w:noProof/>
                <w:webHidden/>
              </w:rPr>
              <w:tab/>
            </w:r>
            <w:r w:rsidR="00B04AC6">
              <w:rPr>
                <w:noProof/>
                <w:webHidden/>
              </w:rPr>
              <w:fldChar w:fldCharType="begin"/>
            </w:r>
            <w:r w:rsidR="00B04AC6">
              <w:rPr>
                <w:noProof/>
                <w:webHidden/>
              </w:rPr>
              <w:instrText xml:space="preserve"> PAGEREF _Toc43374604 \h </w:instrText>
            </w:r>
            <w:r w:rsidR="00B04AC6">
              <w:rPr>
                <w:noProof/>
                <w:webHidden/>
              </w:rPr>
            </w:r>
            <w:r w:rsidR="00B04AC6">
              <w:rPr>
                <w:noProof/>
                <w:webHidden/>
              </w:rPr>
              <w:fldChar w:fldCharType="separate"/>
            </w:r>
            <w:r w:rsidR="00B04AC6">
              <w:rPr>
                <w:noProof/>
                <w:webHidden/>
              </w:rPr>
              <w:t>3</w:t>
            </w:r>
            <w:r w:rsidR="00B04AC6">
              <w:rPr>
                <w:noProof/>
                <w:webHidden/>
              </w:rPr>
              <w:fldChar w:fldCharType="end"/>
            </w:r>
          </w:hyperlink>
        </w:p>
        <w:p w14:paraId="1042CDCF" w14:textId="77777777" w:rsidR="00B04AC6" w:rsidRDefault="00841EC8">
          <w:pPr>
            <w:pStyle w:val="TOC1"/>
            <w:tabs>
              <w:tab w:val="right" w:leader="dot" w:pos="9350"/>
            </w:tabs>
            <w:rPr>
              <w:rFonts w:eastAsiaTheme="minorEastAsia"/>
              <w:noProof/>
            </w:rPr>
          </w:pPr>
          <w:hyperlink w:anchor="_Toc43374605" w:history="1">
            <w:r w:rsidR="00B04AC6" w:rsidRPr="00BD1131">
              <w:rPr>
                <w:rStyle w:val="Hyperlink"/>
                <w:rFonts w:cstheme="minorHAnsi"/>
                <w:noProof/>
              </w:rPr>
              <w:t>SUMMARY STRUCTURE OF THE BILL</w:t>
            </w:r>
            <w:r w:rsidR="00B04AC6">
              <w:rPr>
                <w:noProof/>
                <w:webHidden/>
              </w:rPr>
              <w:tab/>
            </w:r>
            <w:r w:rsidR="00B04AC6">
              <w:rPr>
                <w:noProof/>
                <w:webHidden/>
              </w:rPr>
              <w:fldChar w:fldCharType="begin"/>
            </w:r>
            <w:r w:rsidR="00B04AC6">
              <w:rPr>
                <w:noProof/>
                <w:webHidden/>
              </w:rPr>
              <w:instrText xml:space="preserve"> PAGEREF _Toc43374605 \h </w:instrText>
            </w:r>
            <w:r w:rsidR="00B04AC6">
              <w:rPr>
                <w:noProof/>
                <w:webHidden/>
              </w:rPr>
            </w:r>
            <w:r w:rsidR="00B04AC6">
              <w:rPr>
                <w:noProof/>
                <w:webHidden/>
              </w:rPr>
              <w:fldChar w:fldCharType="separate"/>
            </w:r>
            <w:r w:rsidR="00B04AC6">
              <w:rPr>
                <w:noProof/>
                <w:webHidden/>
              </w:rPr>
              <w:t>4</w:t>
            </w:r>
            <w:r w:rsidR="00B04AC6">
              <w:rPr>
                <w:noProof/>
                <w:webHidden/>
              </w:rPr>
              <w:fldChar w:fldCharType="end"/>
            </w:r>
          </w:hyperlink>
        </w:p>
        <w:p w14:paraId="6DDE3412" w14:textId="77777777" w:rsidR="00B04AC6" w:rsidRDefault="00841EC8">
          <w:pPr>
            <w:pStyle w:val="TOC1"/>
            <w:tabs>
              <w:tab w:val="right" w:leader="dot" w:pos="9350"/>
            </w:tabs>
            <w:rPr>
              <w:rFonts w:eastAsiaTheme="minorEastAsia"/>
              <w:noProof/>
            </w:rPr>
          </w:pPr>
          <w:hyperlink w:anchor="_Toc43374606" w:history="1">
            <w:r w:rsidR="00B04AC6" w:rsidRPr="00BD1131">
              <w:rPr>
                <w:rStyle w:val="Hyperlink"/>
                <w:rFonts w:cstheme="minorHAnsi"/>
                <w:noProof/>
              </w:rPr>
              <w:t>ANALYSIS OF SECTIONS</w:t>
            </w:r>
            <w:r w:rsidR="00B04AC6">
              <w:rPr>
                <w:noProof/>
                <w:webHidden/>
              </w:rPr>
              <w:tab/>
            </w:r>
            <w:r w:rsidR="00B04AC6">
              <w:rPr>
                <w:noProof/>
                <w:webHidden/>
              </w:rPr>
              <w:fldChar w:fldCharType="begin"/>
            </w:r>
            <w:r w:rsidR="00B04AC6">
              <w:rPr>
                <w:noProof/>
                <w:webHidden/>
              </w:rPr>
              <w:instrText xml:space="preserve"> PAGEREF _Toc43374606 \h </w:instrText>
            </w:r>
            <w:r w:rsidR="00B04AC6">
              <w:rPr>
                <w:noProof/>
                <w:webHidden/>
              </w:rPr>
            </w:r>
            <w:r w:rsidR="00B04AC6">
              <w:rPr>
                <w:noProof/>
                <w:webHidden/>
              </w:rPr>
              <w:fldChar w:fldCharType="separate"/>
            </w:r>
            <w:r w:rsidR="00B04AC6">
              <w:rPr>
                <w:noProof/>
                <w:webHidden/>
              </w:rPr>
              <w:t>4</w:t>
            </w:r>
            <w:r w:rsidR="00B04AC6">
              <w:rPr>
                <w:noProof/>
                <w:webHidden/>
              </w:rPr>
              <w:fldChar w:fldCharType="end"/>
            </w:r>
          </w:hyperlink>
        </w:p>
        <w:p w14:paraId="00808763" w14:textId="77777777" w:rsidR="00B04AC6" w:rsidRDefault="00841EC8">
          <w:pPr>
            <w:pStyle w:val="TOC2"/>
            <w:tabs>
              <w:tab w:val="right" w:leader="dot" w:pos="9350"/>
            </w:tabs>
            <w:rPr>
              <w:rFonts w:eastAsiaTheme="minorEastAsia"/>
              <w:noProof/>
            </w:rPr>
          </w:pPr>
          <w:hyperlink w:anchor="_Toc43374607" w:history="1">
            <w:r w:rsidR="00B04AC6" w:rsidRPr="00BD1131">
              <w:rPr>
                <w:rStyle w:val="Hyperlink"/>
                <w:rFonts w:cstheme="minorHAnsi"/>
                <w:noProof/>
              </w:rPr>
              <w:t>Part I</w:t>
            </w:r>
            <w:r w:rsidR="00B04AC6">
              <w:rPr>
                <w:noProof/>
                <w:webHidden/>
              </w:rPr>
              <w:tab/>
            </w:r>
            <w:r w:rsidR="00B04AC6">
              <w:rPr>
                <w:noProof/>
                <w:webHidden/>
              </w:rPr>
              <w:fldChar w:fldCharType="begin"/>
            </w:r>
            <w:r w:rsidR="00B04AC6">
              <w:rPr>
                <w:noProof/>
                <w:webHidden/>
              </w:rPr>
              <w:instrText xml:space="preserve"> PAGEREF _Toc43374607 \h </w:instrText>
            </w:r>
            <w:r w:rsidR="00B04AC6">
              <w:rPr>
                <w:noProof/>
                <w:webHidden/>
              </w:rPr>
            </w:r>
            <w:r w:rsidR="00B04AC6">
              <w:rPr>
                <w:noProof/>
                <w:webHidden/>
              </w:rPr>
              <w:fldChar w:fldCharType="separate"/>
            </w:r>
            <w:r w:rsidR="00B04AC6">
              <w:rPr>
                <w:noProof/>
                <w:webHidden/>
              </w:rPr>
              <w:t>4</w:t>
            </w:r>
            <w:r w:rsidR="00B04AC6">
              <w:rPr>
                <w:noProof/>
                <w:webHidden/>
              </w:rPr>
              <w:fldChar w:fldCharType="end"/>
            </w:r>
          </w:hyperlink>
        </w:p>
        <w:p w14:paraId="5DD6835B" w14:textId="77777777" w:rsidR="00B04AC6" w:rsidRDefault="00841EC8">
          <w:pPr>
            <w:pStyle w:val="TOC2"/>
            <w:tabs>
              <w:tab w:val="right" w:leader="dot" w:pos="9350"/>
            </w:tabs>
            <w:rPr>
              <w:rFonts w:eastAsiaTheme="minorEastAsia"/>
              <w:noProof/>
            </w:rPr>
          </w:pPr>
          <w:hyperlink w:anchor="_Toc43374608" w:history="1">
            <w:r w:rsidR="00B04AC6" w:rsidRPr="00BD1131">
              <w:rPr>
                <w:rStyle w:val="Hyperlink"/>
                <w:rFonts w:cstheme="minorHAnsi"/>
                <w:noProof/>
              </w:rPr>
              <w:t>Part II</w:t>
            </w:r>
            <w:r w:rsidR="00B04AC6">
              <w:rPr>
                <w:noProof/>
                <w:webHidden/>
              </w:rPr>
              <w:tab/>
            </w:r>
            <w:r w:rsidR="00B04AC6">
              <w:rPr>
                <w:noProof/>
                <w:webHidden/>
              </w:rPr>
              <w:fldChar w:fldCharType="begin"/>
            </w:r>
            <w:r w:rsidR="00B04AC6">
              <w:rPr>
                <w:noProof/>
                <w:webHidden/>
              </w:rPr>
              <w:instrText xml:space="preserve"> PAGEREF _Toc43374608 \h </w:instrText>
            </w:r>
            <w:r w:rsidR="00B04AC6">
              <w:rPr>
                <w:noProof/>
                <w:webHidden/>
              </w:rPr>
            </w:r>
            <w:r w:rsidR="00B04AC6">
              <w:rPr>
                <w:noProof/>
                <w:webHidden/>
              </w:rPr>
              <w:fldChar w:fldCharType="separate"/>
            </w:r>
            <w:r w:rsidR="00B04AC6">
              <w:rPr>
                <w:noProof/>
                <w:webHidden/>
              </w:rPr>
              <w:t>6</w:t>
            </w:r>
            <w:r w:rsidR="00B04AC6">
              <w:rPr>
                <w:noProof/>
                <w:webHidden/>
              </w:rPr>
              <w:fldChar w:fldCharType="end"/>
            </w:r>
          </w:hyperlink>
        </w:p>
        <w:p w14:paraId="097A2237" w14:textId="77777777" w:rsidR="00B04AC6" w:rsidRDefault="00841EC8">
          <w:pPr>
            <w:pStyle w:val="TOC2"/>
            <w:tabs>
              <w:tab w:val="right" w:leader="dot" w:pos="9350"/>
            </w:tabs>
            <w:rPr>
              <w:rFonts w:eastAsiaTheme="minorEastAsia"/>
              <w:noProof/>
            </w:rPr>
          </w:pPr>
          <w:hyperlink w:anchor="_Toc43374609" w:history="1">
            <w:r w:rsidR="00B04AC6" w:rsidRPr="00BD1131">
              <w:rPr>
                <w:rStyle w:val="Hyperlink"/>
                <w:rFonts w:cstheme="minorHAnsi"/>
                <w:noProof/>
              </w:rPr>
              <w:t>Part III</w:t>
            </w:r>
            <w:r w:rsidR="00B04AC6">
              <w:rPr>
                <w:noProof/>
                <w:webHidden/>
              </w:rPr>
              <w:tab/>
            </w:r>
            <w:r w:rsidR="00B04AC6">
              <w:rPr>
                <w:noProof/>
                <w:webHidden/>
              </w:rPr>
              <w:fldChar w:fldCharType="begin"/>
            </w:r>
            <w:r w:rsidR="00B04AC6">
              <w:rPr>
                <w:noProof/>
                <w:webHidden/>
              </w:rPr>
              <w:instrText xml:space="preserve"> PAGEREF _Toc43374609 \h </w:instrText>
            </w:r>
            <w:r w:rsidR="00B04AC6">
              <w:rPr>
                <w:noProof/>
                <w:webHidden/>
              </w:rPr>
            </w:r>
            <w:r w:rsidR="00B04AC6">
              <w:rPr>
                <w:noProof/>
                <w:webHidden/>
              </w:rPr>
              <w:fldChar w:fldCharType="separate"/>
            </w:r>
            <w:r w:rsidR="00B04AC6">
              <w:rPr>
                <w:noProof/>
                <w:webHidden/>
              </w:rPr>
              <w:t>7</w:t>
            </w:r>
            <w:r w:rsidR="00B04AC6">
              <w:rPr>
                <w:noProof/>
                <w:webHidden/>
              </w:rPr>
              <w:fldChar w:fldCharType="end"/>
            </w:r>
          </w:hyperlink>
        </w:p>
        <w:p w14:paraId="2D7F42FE" w14:textId="77777777" w:rsidR="00B04AC6" w:rsidRDefault="00841EC8">
          <w:pPr>
            <w:pStyle w:val="TOC2"/>
            <w:tabs>
              <w:tab w:val="right" w:leader="dot" w:pos="9350"/>
            </w:tabs>
            <w:rPr>
              <w:rFonts w:eastAsiaTheme="minorEastAsia"/>
              <w:noProof/>
            </w:rPr>
          </w:pPr>
          <w:hyperlink w:anchor="_Toc43374610" w:history="1">
            <w:r w:rsidR="00B04AC6" w:rsidRPr="00BD1131">
              <w:rPr>
                <w:rStyle w:val="Hyperlink"/>
                <w:rFonts w:cstheme="minorHAnsi"/>
                <w:noProof/>
              </w:rPr>
              <w:t>Part IV and Part V</w:t>
            </w:r>
            <w:r w:rsidR="00B04AC6">
              <w:rPr>
                <w:noProof/>
                <w:webHidden/>
              </w:rPr>
              <w:tab/>
            </w:r>
            <w:r w:rsidR="00B04AC6">
              <w:rPr>
                <w:noProof/>
                <w:webHidden/>
              </w:rPr>
              <w:fldChar w:fldCharType="begin"/>
            </w:r>
            <w:r w:rsidR="00B04AC6">
              <w:rPr>
                <w:noProof/>
                <w:webHidden/>
              </w:rPr>
              <w:instrText xml:space="preserve"> PAGEREF _Toc43374610 \h </w:instrText>
            </w:r>
            <w:r w:rsidR="00B04AC6">
              <w:rPr>
                <w:noProof/>
                <w:webHidden/>
              </w:rPr>
            </w:r>
            <w:r w:rsidR="00B04AC6">
              <w:rPr>
                <w:noProof/>
                <w:webHidden/>
              </w:rPr>
              <w:fldChar w:fldCharType="separate"/>
            </w:r>
            <w:r w:rsidR="00B04AC6">
              <w:rPr>
                <w:noProof/>
                <w:webHidden/>
              </w:rPr>
              <w:t>9</w:t>
            </w:r>
            <w:r w:rsidR="00B04AC6">
              <w:rPr>
                <w:noProof/>
                <w:webHidden/>
              </w:rPr>
              <w:fldChar w:fldCharType="end"/>
            </w:r>
          </w:hyperlink>
        </w:p>
        <w:p w14:paraId="0639C7CB" w14:textId="77777777" w:rsidR="00B04AC6" w:rsidRDefault="00841EC8">
          <w:pPr>
            <w:pStyle w:val="TOC2"/>
            <w:tabs>
              <w:tab w:val="right" w:leader="dot" w:pos="9350"/>
            </w:tabs>
            <w:rPr>
              <w:rFonts w:eastAsiaTheme="minorEastAsia"/>
              <w:noProof/>
            </w:rPr>
          </w:pPr>
          <w:hyperlink w:anchor="_Toc43374611" w:history="1">
            <w:r w:rsidR="00B04AC6" w:rsidRPr="00BD1131">
              <w:rPr>
                <w:rStyle w:val="Hyperlink"/>
                <w:rFonts w:cstheme="minorHAnsi"/>
                <w:noProof/>
              </w:rPr>
              <w:t>Part VI</w:t>
            </w:r>
            <w:r w:rsidR="00B04AC6">
              <w:rPr>
                <w:noProof/>
                <w:webHidden/>
              </w:rPr>
              <w:tab/>
            </w:r>
            <w:r w:rsidR="00B04AC6">
              <w:rPr>
                <w:noProof/>
                <w:webHidden/>
              </w:rPr>
              <w:fldChar w:fldCharType="begin"/>
            </w:r>
            <w:r w:rsidR="00B04AC6">
              <w:rPr>
                <w:noProof/>
                <w:webHidden/>
              </w:rPr>
              <w:instrText xml:space="preserve"> PAGEREF _Toc43374611 \h </w:instrText>
            </w:r>
            <w:r w:rsidR="00B04AC6">
              <w:rPr>
                <w:noProof/>
                <w:webHidden/>
              </w:rPr>
            </w:r>
            <w:r w:rsidR="00B04AC6">
              <w:rPr>
                <w:noProof/>
                <w:webHidden/>
              </w:rPr>
              <w:fldChar w:fldCharType="separate"/>
            </w:r>
            <w:r w:rsidR="00B04AC6">
              <w:rPr>
                <w:noProof/>
                <w:webHidden/>
              </w:rPr>
              <w:t>12</w:t>
            </w:r>
            <w:r w:rsidR="00B04AC6">
              <w:rPr>
                <w:noProof/>
                <w:webHidden/>
              </w:rPr>
              <w:fldChar w:fldCharType="end"/>
            </w:r>
          </w:hyperlink>
        </w:p>
        <w:p w14:paraId="71B26F17" w14:textId="77777777" w:rsidR="00B04AC6" w:rsidRDefault="00841EC8">
          <w:pPr>
            <w:pStyle w:val="TOC2"/>
            <w:tabs>
              <w:tab w:val="right" w:leader="dot" w:pos="9350"/>
            </w:tabs>
            <w:rPr>
              <w:rFonts w:eastAsiaTheme="minorEastAsia"/>
              <w:noProof/>
            </w:rPr>
          </w:pPr>
          <w:hyperlink w:anchor="_Toc43374612" w:history="1">
            <w:r w:rsidR="00B04AC6" w:rsidRPr="00BD1131">
              <w:rPr>
                <w:rStyle w:val="Hyperlink"/>
                <w:rFonts w:cstheme="minorHAnsi"/>
                <w:noProof/>
              </w:rPr>
              <w:t>Part VII</w:t>
            </w:r>
            <w:r w:rsidR="00B04AC6">
              <w:rPr>
                <w:noProof/>
                <w:webHidden/>
              </w:rPr>
              <w:tab/>
            </w:r>
            <w:r w:rsidR="00B04AC6">
              <w:rPr>
                <w:noProof/>
                <w:webHidden/>
              </w:rPr>
              <w:fldChar w:fldCharType="begin"/>
            </w:r>
            <w:r w:rsidR="00B04AC6">
              <w:rPr>
                <w:noProof/>
                <w:webHidden/>
              </w:rPr>
              <w:instrText xml:space="preserve"> PAGEREF _Toc43374612 \h </w:instrText>
            </w:r>
            <w:r w:rsidR="00B04AC6">
              <w:rPr>
                <w:noProof/>
                <w:webHidden/>
              </w:rPr>
            </w:r>
            <w:r w:rsidR="00B04AC6">
              <w:rPr>
                <w:noProof/>
                <w:webHidden/>
              </w:rPr>
              <w:fldChar w:fldCharType="separate"/>
            </w:r>
            <w:r w:rsidR="00B04AC6">
              <w:rPr>
                <w:noProof/>
                <w:webHidden/>
              </w:rPr>
              <w:t>16</w:t>
            </w:r>
            <w:r w:rsidR="00B04AC6">
              <w:rPr>
                <w:noProof/>
                <w:webHidden/>
              </w:rPr>
              <w:fldChar w:fldCharType="end"/>
            </w:r>
          </w:hyperlink>
        </w:p>
        <w:p w14:paraId="655CB5F9" w14:textId="77777777" w:rsidR="00B04AC6" w:rsidRDefault="00841EC8">
          <w:pPr>
            <w:pStyle w:val="TOC2"/>
            <w:tabs>
              <w:tab w:val="right" w:leader="dot" w:pos="9350"/>
            </w:tabs>
            <w:rPr>
              <w:rFonts w:eastAsiaTheme="minorEastAsia"/>
              <w:noProof/>
            </w:rPr>
          </w:pPr>
          <w:hyperlink w:anchor="_Toc43374613" w:history="1">
            <w:r w:rsidR="00B04AC6" w:rsidRPr="00BD1131">
              <w:rPr>
                <w:rStyle w:val="Hyperlink"/>
                <w:rFonts w:cstheme="minorHAnsi"/>
                <w:noProof/>
              </w:rPr>
              <w:t>Part IX</w:t>
            </w:r>
            <w:r w:rsidR="00B04AC6">
              <w:rPr>
                <w:noProof/>
                <w:webHidden/>
              </w:rPr>
              <w:tab/>
            </w:r>
            <w:r w:rsidR="00B04AC6">
              <w:rPr>
                <w:noProof/>
                <w:webHidden/>
              </w:rPr>
              <w:fldChar w:fldCharType="begin"/>
            </w:r>
            <w:r w:rsidR="00B04AC6">
              <w:rPr>
                <w:noProof/>
                <w:webHidden/>
              </w:rPr>
              <w:instrText xml:space="preserve"> PAGEREF _Toc43374613 \h </w:instrText>
            </w:r>
            <w:r w:rsidR="00B04AC6">
              <w:rPr>
                <w:noProof/>
                <w:webHidden/>
              </w:rPr>
            </w:r>
            <w:r w:rsidR="00B04AC6">
              <w:rPr>
                <w:noProof/>
                <w:webHidden/>
              </w:rPr>
              <w:fldChar w:fldCharType="separate"/>
            </w:r>
            <w:r w:rsidR="00B04AC6">
              <w:rPr>
                <w:noProof/>
                <w:webHidden/>
              </w:rPr>
              <w:t>17</w:t>
            </w:r>
            <w:r w:rsidR="00B04AC6">
              <w:rPr>
                <w:noProof/>
                <w:webHidden/>
              </w:rPr>
              <w:fldChar w:fldCharType="end"/>
            </w:r>
          </w:hyperlink>
        </w:p>
        <w:p w14:paraId="30BDEB99" w14:textId="77777777" w:rsidR="00B04AC6" w:rsidRDefault="00841EC8">
          <w:pPr>
            <w:pStyle w:val="TOC2"/>
            <w:tabs>
              <w:tab w:val="right" w:leader="dot" w:pos="9350"/>
            </w:tabs>
            <w:rPr>
              <w:rFonts w:eastAsiaTheme="minorEastAsia"/>
              <w:noProof/>
            </w:rPr>
          </w:pPr>
          <w:hyperlink w:anchor="_Toc43374614" w:history="1">
            <w:r w:rsidR="00B04AC6" w:rsidRPr="00BD1131">
              <w:rPr>
                <w:rStyle w:val="Hyperlink"/>
                <w:noProof/>
              </w:rPr>
              <w:t>Part X</w:t>
            </w:r>
            <w:r w:rsidR="00B04AC6">
              <w:rPr>
                <w:noProof/>
                <w:webHidden/>
              </w:rPr>
              <w:tab/>
            </w:r>
            <w:r w:rsidR="00B04AC6">
              <w:rPr>
                <w:noProof/>
                <w:webHidden/>
              </w:rPr>
              <w:fldChar w:fldCharType="begin"/>
            </w:r>
            <w:r w:rsidR="00B04AC6">
              <w:rPr>
                <w:noProof/>
                <w:webHidden/>
              </w:rPr>
              <w:instrText xml:space="preserve"> PAGEREF _Toc43374614 \h </w:instrText>
            </w:r>
            <w:r w:rsidR="00B04AC6">
              <w:rPr>
                <w:noProof/>
                <w:webHidden/>
              </w:rPr>
            </w:r>
            <w:r w:rsidR="00B04AC6">
              <w:rPr>
                <w:noProof/>
                <w:webHidden/>
              </w:rPr>
              <w:fldChar w:fldCharType="separate"/>
            </w:r>
            <w:r w:rsidR="00B04AC6">
              <w:rPr>
                <w:noProof/>
                <w:webHidden/>
              </w:rPr>
              <w:t>18</w:t>
            </w:r>
            <w:r w:rsidR="00B04AC6">
              <w:rPr>
                <w:noProof/>
                <w:webHidden/>
              </w:rPr>
              <w:fldChar w:fldCharType="end"/>
            </w:r>
          </w:hyperlink>
        </w:p>
        <w:p w14:paraId="010413C5" w14:textId="77777777" w:rsidR="00B04AC6" w:rsidRDefault="00841EC8">
          <w:pPr>
            <w:pStyle w:val="TOC2"/>
            <w:tabs>
              <w:tab w:val="right" w:leader="dot" w:pos="9350"/>
            </w:tabs>
            <w:rPr>
              <w:rFonts w:eastAsiaTheme="minorEastAsia"/>
              <w:noProof/>
            </w:rPr>
          </w:pPr>
          <w:hyperlink w:anchor="_Toc43374615" w:history="1">
            <w:r w:rsidR="00B04AC6" w:rsidRPr="00BD1131">
              <w:rPr>
                <w:rStyle w:val="Hyperlink"/>
                <w:noProof/>
              </w:rPr>
              <w:t>Part XII</w:t>
            </w:r>
            <w:r w:rsidR="00B04AC6">
              <w:rPr>
                <w:noProof/>
                <w:webHidden/>
              </w:rPr>
              <w:tab/>
            </w:r>
            <w:r w:rsidR="00B04AC6">
              <w:rPr>
                <w:noProof/>
                <w:webHidden/>
              </w:rPr>
              <w:fldChar w:fldCharType="begin"/>
            </w:r>
            <w:r w:rsidR="00B04AC6">
              <w:rPr>
                <w:noProof/>
                <w:webHidden/>
              </w:rPr>
              <w:instrText xml:space="preserve"> PAGEREF _Toc43374615 \h </w:instrText>
            </w:r>
            <w:r w:rsidR="00B04AC6">
              <w:rPr>
                <w:noProof/>
                <w:webHidden/>
              </w:rPr>
            </w:r>
            <w:r w:rsidR="00B04AC6">
              <w:rPr>
                <w:noProof/>
                <w:webHidden/>
              </w:rPr>
              <w:fldChar w:fldCharType="separate"/>
            </w:r>
            <w:r w:rsidR="00B04AC6">
              <w:rPr>
                <w:noProof/>
                <w:webHidden/>
              </w:rPr>
              <w:t>19</w:t>
            </w:r>
            <w:r w:rsidR="00B04AC6">
              <w:rPr>
                <w:noProof/>
                <w:webHidden/>
              </w:rPr>
              <w:fldChar w:fldCharType="end"/>
            </w:r>
          </w:hyperlink>
        </w:p>
        <w:p w14:paraId="14770F1D" w14:textId="77777777" w:rsidR="00B04AC6" w:rsidRDefault="00841EC8">
          <w:pPr>
            <w:pStyle w:val="TOC1"/>
            <w:tabs>
              <w:tab w:val="right" w:leader="dot" w:pos="9350"/>
            </w:tabs>
            <w:rPr>
              <w:rFonts w:eastAsiaTheme="minorEastAsia"/>
              <w:noProof/>
            </w:rPr>
          </w:pPr>
          <w:hyperlink w:anchor="_Toc43374616" w:history="1">
            <w:r w:rsidR="00B04AC6" w:rsidRPr="00BD1131">
              <w:rPr>
                <w:rStyle w:val="Hyperlink"/>
                <w:rFonts w:cstheme="minorHAnsi"/>
                <w:noProof/>
              </w:rPr>
              <w:t>CONCLUDING RECOMMENDATIONS</w:t>
            </w:r>
            <w:r w:rsidR="00B04AC6">
              <w:rPr>
                <w:noProof/>
                <w:webHidden/>
              </w:rPr>
              <w:tab/>
            </w:r>
            <w:r w:rsidR="00B04AC6">
              <w:rPr>
                <w:noProof/>
                <w:webHidden/>
              </w:rPr>
              <w:fldChar w:fldCharType="begin"/>
            </w:r>
            <w:r w:rsidR="00B04AC6">
              <w:rPr>
                <w:noProof/>
                <w:webHidden/>
              </w:rPr>
              <w:instrText xml:space="preserve"> PAGEREF _Toc43374616 \h </w:instrText>
            </w:r>
            <w:r w:rsidR="00B04AC6">
              <w:rPr>
                <w:noProof/>
                <w:webHidden/>
              </w:rPr>
            </w:r>
            <w:r w:rsidR="00B04AC6">
              <w:rPr>
                <w:noProof/>
                <w:webHidden/>
              </w:rPr>
              <w:fldChar w:fldCharType="separate"/>
            </w:r>
            <w:r w:rsidR="00B04AC6">
              <w:rPr>
                <w:noProof/>
                <w:webHidden/>
              </w:rPr>
              <w:t>20</w:t>
            </w:r>
            <w:r w:rsidR="00B04AC6">
              <w:rPr>
                <w:noProof/>
                <w:webHidden/>
              </w:rPr>
              <w:fldChar w:fldCharType="end"/>
            </w:r>
          </w:hyperlink>
        </w:p>
        <w:p w14:paraId="368B74E6" w14:textId="77777777" w:rsidR="00AE0043" w:rsidRPr="00946E97" w:rsidRDefault="00AE0043" w:rsidP="00D439AE">
          <w:pPr>
            <w:jc w:val="both"/>
            <w:rPr>
              <w:rFonts w:cstheme="minorHAnsi"/>
              <w:sz w:val="24"/>
              <w:szCs w:val="24"/>
            </w:rPr>
          </w:pPr>
          <w:r w:rsidRPr="00946E97">
            <w:rPr>
              <w:rFonts w:cstheme="minorHAnsi"/>
              <w:b/>
              <w:bCs/>
              <w:noProof/>
              <w:sz w:val="24"/>
              <w:szCs w:val="24"/>
            </w:rPr>
            <w:fldChar w:fldCharType="end"/>
          </w:r>
        </w:p>
      </w:sdtContent>
    </w:sdt>
    <w:p w14:paraId="1F1064B9" w14:textId="77777777" w:rsidR="00AE0043" w:rsidRPr="00946E97" w:rsidRDefault="00AE0043" w:rsidP="00D439AE">
      <w:pPr>
        <w:jc w:val="both"/>
        <w:rPr>
          <w:rFonts w:cstheme="minorHAnsi"/>
          <w:b/>
          <w:sz w:val="24"/>
          <w:szCs w:val="24"/>
          <w:lang w:val="en-ZA"/>
        </w:rPr>
      </w:pPr>
    </w:p>
    <w:p w14:paraId="52F4E22D" w14:textId="77777777" w:rsidR="00AE0043" w:rsidRPr="00946E97" w:rsidRDefault="00AE0043" w:rsidP="00D439AE">
      <w:pPr>
        <w:jc w:val="both"/>
        <w:rPr>
          <w:rFonts w:cstheme="minorHAnsi"/>
          <w:sz w:val="24"/>
          <w:szCs w:val="24"/>
        </w:rPr>
      </w:pPr>
    </w:p>
    <w:p w14:paraId="1795B171" w14:textId="77777777" w:rsidR="00E46AB9" w:rsidRPr="00E46AB9" w:rsidRDefault="00E46AB9" w:rsidP="00E46AB9">
      <w:pPr>
        <w:pStyle w:val="Heading1"/>
        <w:jc w:val="center"/>
        <w:rPr>
          <w:rFonts w:asciiTheme="minorHAnsi" w:hAnsiTheme="minorHAnsi" w:cstheme="minorHAnsi"/>
          <w:caps/>
          <w:szCs w:val="24"/>
          <w:lang w:val="en-ZA"/>
        </w:rPr>
      </w:pPr>
      <w:bookmarkStart w:id="1" w:name="_Toc43374603"/>
      <w:r w:rsidRPr="00E46AB9">
        <w:rPr>
          <w:rFonts w:asciiTheme="minorHAnsi" w:hAnsiTheme="minorHAnsi" w:cstheme="minorHAnsi"/>
          <w:caps/>
          <w:szCs w:val="24"/>
          <w:lang w:val="en-ZA"/>
        </w:rPr>
        <w:lastRenderedPageBreak/>
        <w:t>Preface</w:t>
      </w:r>
    </w:p>
    <w:p w14:paraId="64C4EE67" w14:textId="77777777" w:rsidR="00E46AB9" w:rsidRPr="00E46AB9" w:rsidRDefault="00E46AB9" w:rsidP="00E46AB9">
      <w:pPr>
        <w:rPr>
          <w:sz w:val="24"/>
          <w:szCs w:val="24"/>
          <w:lang w:val="en-ZA"/>
        </w:rPr>
      </w:pPr>
      <w:r w:rsidRPr="00E46AB9">
        <w:rPr>
          <w:sz w:val="24"/>
          <w:szCs w:val="24"/>
          <w:lang w:val="en-ZA"/>
        </w:rPr>
        <w:t>MISA Zimbabwe produced a summary statement on the Bill immediately after its gazetting. This commentary reflects expanded reflections and recommendations to improve the current Bill.</w:t>
      </w:r>
    </w:p>
    <w:p w14:paraId="71FAC1A7" w14:textId="77777777" w:rsidR="00BD4B81" w:rsidRPr="00946E97" w:rsidRDefault="00D2412A" w:rsidP="00D439AE">
      <w:pPr>
        <w:pStyle w:val="Heading1"/>
        <w:jc w:val="both"/>
        <w:rPr>
          <w:rFonts w:asciiTheme="minorHAnsi" w:hAnsiTheme="minorHAnsi" w:cstheme="minorHAnsi"/>
          <w:szCs w:val="24"/>
          <w:lang w:val="en-ZA"/>
        </w:rPr>
      </w:pPr>
      <w:r w:rsidRPr="00946E97">
        <w:rPr>
          <w:rFonts w:asciiTheme="minorHAnsi" w:hAnsiTheme="minorHAnsi" w:cstheme="minorHAnsi"/>
          <w:szCs w:val="24"/>
          <w:lang w:val="en-ZA"/>
        </w:rPr>
        <w:t>INTRODUCTION</w:t>
      </w:r>
      <w:bookmarkEnd w:id="1"/>
    </w:p>
    <w:p w14:paraId="3BE41483" w14:textId="77777777" w:rsidR="002E682C" w:rsidRDefault="00592EEC" w:rsidP="00D439AE">
      <w:pPr>
        <w:jc w:val="both"/>
        <w:rPr>
          <w:rFonts w:cstheme="minorHAnsi"/>
          <w:sz w:val="24"/>
          <w:szCs w:val="24"/>
        </w:rPr>
      </w:pPr>
      <w:r w:rsidRPr="00946E97">
        <w:rPr>
          <w:rFonts w:cstheme="minorHAnsi"/>
          <w:sz w:val="24"/>
          <w:szCs w:val="24"/>
          <w:lang w:val="en-ZA"/>
        </w:rPr>
        <w:t xml:space="preserve">After several </w:t>
      </w:r>
      <w:r w:rsidR="00B87C0F">
        <w:rPr>
          <w:rFonts w:cstheme="minorHAnsi"/>
          <w:sz w:val="24"/>
          <w:szCs w:val="24"/>
          <w:lang w:val="en-ZA"/>
        </w:rPr>
        <w:t xml:space="preserve">attempts, </w:t>
      </w:r>
      <w:r w:rsidRPr="00946E97">
        <w:rPr>
          <w:rFonts w:cstheme="minorHAnsi"/>
          <w:sz w:val="24"/>
          <w:szCs w:val="24"/>
          <w:lang w:val="en-ZA"/>
        </w:rPr>
        <w:t>Zimbabwe gazetted the Cyber security and Data Protection Bill 2019</w:t>
      </w:r>
      <w:r w:rsidR="00025382">
        <w:rPr>
          <w:rFonts w:cstheme="minorHAnsi"/>
          <w:sz w:val="24"/>
          <w:szCs w:val="24"/>
          <w:lang w:val="en-ZA"/>
        </w:rPr>
        <w:t xml:space="preserve"> (hereinafter the “Bill</w:t>
      </w:r>
      <w:r w:rsidR="002E682C">
        <w:rPr>
          <w:rFonts w:cstheme="minorHAnsi"/>
          <w:sz w:val="24"/>
          <w:szCs w:val="24"/>
          <w:lang w:val="en-ZA"/>
        </w:rPr>
        <w:t>”</w:t>
      </w:r>
      <w:r w:rsidR="00025382">
        <w:rPr>
          <w:rFonts w:cstheme="minorHAnsi"/>
          <w:sz w:val="24"/>
          <w:szCs w:val="24"/>
          <w:lang w:val="en-ZA"/>
        </w:rPr>
        <w:t xml:space="preserve">) on </w:t>
      </w:r>
      <w:r w:rsidR="00025382">
        <w:rPr>
          <w:rFonts w:cstheme="minorHAnsi"/>
          <w:sz w:val="24"/>
          <w:szCs w:val="24"/>
        </w:rPr>
        <w:t xml:space="preserve">Friday 15 </w:t>
      </w:r>
      <w:r w:rsidRPr="00946E97">
        <w:rPr>
          <w:rFonts w:cstheme="minorHAnsi"/>
          <w:sz w:val="24"/>
          <w:szCs w:val="24"/>
        </w:rPr>
        <w:t>May 2020</w:t>
      </w:r>
      <w:r w:rsidR="009B77EF" w:rsidRPr="00946E97">
        <w:rPr>
          <w:rFonts w:cstheme="minorHAnsi"/>
          <w:sz w:val="24"/>
          <w:szCs w:val="24"/>
        </w:rPr>
        <w:t xml:space="preserve">. </w:t>
      </w:r>
      <w:r w:rsidR="00B876D0" w:rsidRPr="00946E97">
        <w:rPr>
          <w:rFonts w:cstheme="minorHAnsi"/>
          <w:sz w:val="24"/>
          <w:szCs w:val="24"/>
        </w:rPr>
        <w:t>The Bill responds to the</w:t>
      </w:r>
      <w:r w:rsidR="00D8367B">
        <w:rPr>
          <w:rFonts w:cstheme="minorHAnsi"/>
          <w:sz w:val="24"/>
          <w:szCs w:val="24"/>
        </w:rPr>
        <w:t xml:space="preserve"> growing technological dictates. </w:t>
      </w:r>
      <w:r w:rsidR="00924D0F">
        <w:rPr>
          <w:rFonts w:cstheme="minorHAnsi"/>
          <w:sz w:val="24"/>
          <w:szCs w:val="24"/>
        </w:rPr>
        <w:t>Zimbabwe, like many jurisdictions suffer “law-lag”</w:t>
      </w:r>
      <w:r w:rsidR="00A70176">
        <w:rPr>
          <w:rFonts w:cstheme="minorHAnsi"/>
          <w:sz w:val="24"/>
          <w:szCs w:val="24"/>
        </w:rPr>
        <w:t xml:space="preserve"> as the e</w:t>
      </w:r>
      <w:r w:rsidR="00924D0F">
        <w:rPr>
          <w:rFonts w:cstheme="minorHAnsi"/>
          <w:sz w:val="24"/>
          <w:szCs w:val="24"/>
        </w:rPr>
        <w:t>nactment of laws is</w:t>
      </w:r>
      <w:r w:rsidR="00B876D0" w:rsidRPr="00946E97">
        <w:rPr>
          <w:rFonts w:cstheme="minorHAnsi"/>
          <w:sz w:val="24"/>
          <w:szCs w:val="24"/>
        </w:rPr>
        <w:t xml:space="preserve"> slower than </w:t>
      </w:r>
      <w:r w:rsidR="00A70176">
        <w:rPr>
          <w:rFonts w:cstheme="minorHAnsi"/>
          <w:sz w:val="24"/>
          <w:szCs w:val="24"/>
        </w:rPr>
        <w:t xml:space="preserve">the </w:t>
      </w:r>
      <w:r w:rsidR="00924D0F">
        <w:rPr>
          <w:rFonts w:cstheme="minorHAnsi"/>
          <w:sz w:val="24"/>
          <w:szCs w:val="24"/>
        </w:rPr>
        <w:t>technological</w:t>
      </w:r>
      <w:r w:rsidR="00B876D0" w:rsidRPr="00946E97">
        <w:rPr>
          <w:rFonts w:cstheme="minorHAnsi"/>
          <w:sz w:val="24"/>
          <w:szCs w:val="24"/>
        </w:rPr>
        <w:t xml:space="preserve"> developments.</w:t>
      </w:r>
      <w:r w:rsidR="00B876D0">
        <w:rPr>
          <w:rFonts w:cstheme="minorHAnsi"/>
          <w:sz w:val="24"/>
          <w:szCs w:val="24"/>
        </w:rPr>
        <w:t xml:space="preserve"> </w:t>
      </w:r>
      <w:r w:rsidR="00B876D0" w:rsidRPr="00946E97">
        <w:rPr>
          <w:rFonts w:cstheme="minorHAnsi"/>
          <w:sz w:val="24"/>
          <w:szCs w:val="24"/>
        </w:rPr>
        <w:t xml:space="preserve">Laws regulating cyber security, criminal laws, and data protection </w:t>
      </w:r>
      <w:r w:rsidR="00B876D0">
        <w:rPr>
          <w:rFonts w:cstheme="minorHAnsi"/>
          <w:sz w:val="24"/>
          <w:szCs w:val="24"/>
        </w:rPr>
        <w:t>are</w:t>
      </w:r>
      <w:r w:rsidR="00B876D0" w:rsidRPr="00946E97">
        <w:rPr>
          <w:rFonts w:cstheme="minorHAnsi"/>
          <w:sz w:val="24"/>
          <w:szCs w:val="24"/>
        </w:rPr>
        <w:t xml:space="preserve"> archaic. Criminal provisions in the Criminal Law (Codification and Reform) Act (</w:t>
      </w:r>
      <w:r w:rsidR="002E682C">
        <w:rPr>
          <w:rFonts w:cstheme="minorHAnsi"/>
          <w:sz w:val="24"/>
          <w:szCs w:val="24"/>
        </w:rPr>
        <w:t xml:space="preserve">Criminal </w:t>
      </w:r>
      <w:r w:rsidR="00B876D0" w:rsidRPr="00946E97">
        <w:rPr>
          <w:rFonts w:cstheme="minorHAnsi"/>
          <w:sz w:val="24"/>
          <w:szCs w:val="24"/>
        </w:rPr>
        <w:t xml:space="preserve">Code), were </w:t>
      </w:r>
      <w:r w:rsidR="00BC7DF6">
        <w:rPr>
          <w:rFonts w:cstheme="minorHAnsi"/>
          <w:sz w:val="24"/>
          <w:szCs w:val="24"/>
        </w:rPr>
        <w:t>not e</w:t>
      </w:r>
      <w:r w:rsidR="00B876D0" w:rsidRPr="00946E97">
        <w:rPr>
          <w:rFonts w:cstheme="minorHAnsi"/>
          <w:sz w:val="24"/>
          <w:szCs w:val="24"/>
        </w:rPr>
        <w:t>xhaustive</w:t>
      </w:r>
      <w:r w:rsidR="00924D0F">
        <w:rPr>
          <w:rFonts w:cstheme="minorHAnsi"/>
          <w:sz w:val="24"/>
          <w:szCs w:val="24"/>
        </w:rPr>
        <w:t>. T</w:t>
      </w:r>
      <w:r w:rsidR="00B876D0" w:rsidRPr="00946E97">
        <w:rPr>
          <w:rFonts w:cstheme="minorHAnsi"/>
          <w:sz w:val="24"/>
          <w:szCs w:val="24"/>
        </w:rPr>
        <w:t>he Access to Information and Protection of Privacy Act (AIPPA) on data and personal information protection remains inadequate</w:t>
      </w:r>
      <w:r w:rsidR="006739BE">
        <w:rPr>
          <w:rFonts w:cstheme="minorHAnsi"/>
          <w:sz w:val="24"/>
          <w:szCs w:val="24"/>
        </w:rPr>
        <w:t>, and myriad with controversial provisions</w:t>
      </w:r>
      <w:r w:rsidR="00B876D0" w:rsidRPr="00946E97">
        <w:rPr>
          <w:rFonts w:cstheme="minorHAnsi"/>
          <w:sz w:val="24"/>
          <w:szCs w:val="24"/>
        </w:rPr>
        <w:t>.</w:t>
      </w:r>
      <w:r w:rsidR="00A70176">
        <w:rPr>
          <w:rStyle w:val="FootnoteReference"/>
          <w:rFonts w:cstheme="minorHAnsi"/>
          <w:sz w:val="24"/>
          <w:szCs w:val="24"/>
        </w:rPr>
        <w:footnoteReference w:id="1"/>
      </w:r>
      <w:r w:rsidR="00924D0F">
        <w:rPr>
          <w:rFonts w:cstheme="minorHAnsi"/>
          <w:sz w:val="24"/>
          <w:szCs w:val="24"/>
        </w:rPr>
        <w:t xml:space="preserve"> </w:t>
      </w:r>
    </w:p>
    <w:p w14:paraId="37F3AE59" w14:textId="77777777" w:rsidR="00F24EC8" w:rsidRPr="00946E97" w:rsidRDefault="009B77EF" w:rsidP="00D439AE">
      <w:pPr>
        <w:jc w:val="both"/>
        <w:rPr>
          <w:rFonts w:cstheme="minorHAnsi"/>
          <w:sz w:val="24"/>
          <w:szCs w:val="24"/>
        </w:rPr>
      </w:pPr>
      <w:r w:rsidRPr="00946E97">
        <w:rPr>
          <w:rFonts w:cstheme="minorHAnsi"/>
          <w:sz w:val="24"/>
          <w:szCs w:val="24"/>
        </w:rPr>
        <w:t>Th</w:t>
      </w:r>
      <w:r w:rsidR="002E682C">
        <w:rPr>
          <w:rFonts w:cstheme="minorHAnsi"/>
          <w:sz w:val="24"/>
          <w:szCs w:val="24"/>
        </w:rPr>
        <w:t>is</w:t>
      </w:r>
      <w:r w:rsidR="00592EEC" w:rsidRPr="00946E97">
        <w:rPr>
          <w:rFonts w:cstheme="minorHAnsi"/>
          <w:sz w:val="24"/>
          <w:szCs w:val="24"/>
        </w:rPr>
        <w:t xml:space="preserve"> </w:t>
      </w:r>
      <w:r w:rsidR="002E682C">
        <w:rPr>
          <w:rFonts w:cstheme="minorHAnsi"/>
          <w:sz w:val="24"/>
          <w:szCs w:val="24"/>
        </w:rPr>
        <w:t xml:space="preserve">paper is an </w:t>
      </w:r>
      <w:r w:rsidR="00E46AB9">
        <w:rPr>
          <w:rFonts w:cstheme="minorHAnsi"/>
          <w:sz w:val="24"/>
          <w:szCs w:val="24"/>
        </w:rPr>
        <w:t>in-depth</w:t>
      </w:r>
      <w:r w:rsidR="002E682C">
        <w:rPr>
          <w:rFonts w:cstheme="minorHAnsi"/>
          <w:sz w:val="24"/>
          <w:szCs w:val="24"/>
        </w:rPr>
        <w:t xml:space="preserve"> </w:t>
      </w:r>
      <w:r w:rsidR="00592EEC" w:rsidRPr="00946E97">
        <w:rPr>
          <w:rFonts w:cstheme="minorHAnsi"/>
          <w:sz w:val="24"/>
          <w:szCs w:val="24"/>
        </w:rPr>
        <w:t>analysis</w:t>
      </w:r>
      <w:r w:rsidR="002E682C">
        <w:rPr>
          <w:rFonts w:cstheme="minorHAnsi"/>
          <w:sz w:val="24"/>
          <w:szCs w:val="24"/>
        </w:rPr>
        <w:t xml:space="preserve"> of the proposed Bill and </w:t>
      </w:r>
      <w:r w:rsidR="006739BE">
        <w:rPr>
          <w:rFonts w:cstheme="minorHAnsi"/>
          <w:sz w:val="24"/>
          <w:szCs w:val="24"/>
        </w:rPr>
        <w:t>incorporates</w:t>
      </w:r>
      <w:r w:rsidR="00592EEC" w:rsidRPr="00946E97">
        <w:rPr>
          <w:rFonts w:cstheme="minorHAnsi"/>
          <w:sz w:val="24"/>
          <w:szCs w:val="24"/>
        </w:rPr>
        <w:t xml:space="preserve"> global and regional development</w:t>
      </w:r>
      <w:r w:rsidR="006739BE">
        <w:rPr>
          <w:rFonts w:cstheme="minorHAnsi"/>
          <w:sz w:val="24"/>
          <w:szCs w:val="24"/>
        </w:rPr>
        <w:t xml:space="preserve">s in respect of cyber security and </w:t>
      </w:r>
      <w:r w:rsidR="00592EEC" w:rsidRPr="00946E97">
        <w:rPr>
          <w:rFonts w:cstheme="minorHAnsi"/>
          <w:sz w:val="24"/>
          <w:szCs w:val="24"/>
        </w:rPr>
        <w:t>data protection laws.</w:t>
      </w:r>
      <w:r w:rsidRPr="00946E97">
        <w:rPr>
          <w:rFonts w:cstheme="minorHAnsi"/>
          <w:sz w:val="24"/>
          <w:szCs w:val="24"/>
        </w:rPr>
        <w:t xml:space="preserve"> </w:t>
      </w:r>
      <w:r w:rsidR="006739BE">
        <w:rPr>
          <w:rFonts w:cstheme="minorHAnsi"/>
          <w:sz w:val="24"/>
          <w:szCs w:val="24"/>
        </w:rPr>
        <w:t>The Constitution and other</w:t>
      </w:r>
      <w:r w:rsidR="00FE3F18" w:rsidRPr="00946E97">
        <w:rPr>
          <w:rFonts w:cstheme="minorHAnsi"/>
          <w:sz w:val="24"/>
          <w:szCs w:val="24"/>
        </w:rPr>
        <w:t xml:space="preserve"> international </w:t>
      </w:r>
      <w:r w:rsidR="006739BE">
        <w:rPr>
          <w:rFonts w:cstheme="minorHAnsi"/>
          <w:sz w:val="24"/>
          <w:szCs w:val="24"/>
        </w:rPr>
        <w:t xml:space="preserve">human rights </w:t>
      </w:r>
      <w:r w:rsidR="00FE3F18" w:rsidRPr="00946E97">
        <w:rPr>
          <w:rFonts w:cstheme="minorHAnsi"/>
          <w:sz w:val="24"/>
          <w:szCs w:val="24"/>
        </w:rPr>
        <w:t>standards</w:t>
      </w:r>
      <w:r w:rsidR="006739BE">
        <w:rPr>
          <w:rFonts w:cstheme="minorHAnsi"/>
          <w:sz w:val="24"/>
          <w:szCs w:val="24"/>
        </w:rPr>
        <w:t xml:space="preserve"> anchor the commentary and recommendations</w:t>
      </w:r>
      <w:r w:rsidR="00FE3F18" w:rsidRPr="00946E97">
        <w:rPr>
          <w:rFonts w:cstheme="minorHAnsi"/>
          <w:sz w:val="24"/>
          <w:szCs w:val="24"/>
        </w:rPr>
        <w:t xml:space="preserve">. </w:t>
      </w:r>
      <w:r w:rsidR="00E17790" w:rsidRPr="00946E97">
        <w:rPr>
          <w:rFonts w:cstheme="minorHAnsi"/>
          <w:sz w:val="24"/>
          <w:szCs w:val="24"/>
        </w:rPr>
        <w:t xml:space="preserve"> </w:t>
      </w:r>
      <w:r w:rsidRPr="00946E97">
        <w:rPr>
          <w:rFonts w:cstheme="minorHAnsi"/>
          <w:sz w:val="24"/>
          <w:szCs w:val="24"/>
        </w:rPr>
        <w:t xml:space="preserve">The </w:t>
      </w:r>
      <w:r w:rsidR="00AC5A45">
        <w:rPr>
          <w:rFonts w:cstheme="minorHAnsi"/>
          <w:sz w:val="24"/>
          <w:szCs w:val="24"/>
        </w:rPr>
        <w:t xml:space="preserve">commentary </w:t>
      </w:r>
      <w:r w:rsidR="00BA2F27" w:rsidRPr="00946E97">
        <w:rPr>
          <w:rFonts w:cstheme="minorHAnsi"/>
          <w:sz w:val="24"/>
          <w:szCs w:val="24"/>
        </w:rPr>
        <w:t xml:space="preserve">makes recommendations for Parliamentarians to consider </w:t>
      </w:r>
      <w:r w:rsidR="002E682C">
        <w:rPr>
          <w:rFonts w:cstheme="minorHAnsi"/>
          <w:sz w:val="24"/>
          <w:szCs w:val="24"/>
        </w:rPr>
        <w:t xml:space="preserve">for purposes of </w:t>
      </w:r>
      <w:r w:rsidR="00BA2F27" w:rsidRPr="00946E97">
        <w:rPr>
          <w:rFonts w:cstheme="minorHAnsi"/>
          <w:sz w:val="24"/>
          <w:szCs w:val="24"/>
        </w:rPr>
        <w:t xml:space="preserve">revising the Bill. </w:t>
      </w:r>
      <w:r w:rsidR="00885BA4" w:rsidRPr="00946E97">
        <w:rPr>
          <w:rFonts w:cstheme="minorHAnsi"/>
          <w:sz w:val="24"/>
          <w:szCs w:val="24"/>
        </w:rPr>
        <w:t>R</w:t>
      </w:r>
      <w:r w:rsidR="002E682C">
        <w:rPr>
          <w:rFonts w:cstheme="minorHAnsi"/>
          <w:sz w:val="24"/>
          <w:szCs w:val="24"/>
        </w:rPr>
        <w:t>elevant r</w:t>
      </w:r>
      <w:r w:rsidR="00885BA4" w:rsidRPr="00946E97">
        <w:rPr>
          <w:rFonts w:cstheme="minorHAnsi"/>
          <w:sz w:val="24"/>
          <w:szCs w:val="24"/>
        </w:rPr>
        <w:t>ecommendations</w:t>
      </w:r>
      <w:r w:rsidR="00BA2F27" w:rsidRPr="00946E97">
        <w:rPr>
          <w:rFonts w:cstheme="minorHAnsi"/>
          <w:sz w:val="24"/>
          <w:szCs w:val="24"/>
        </w:rPr>
        <w:t xml:space="preserve"> </w:t>
      </w:r>
      <w:r w:rsidR="00AC5A45">
        <w:rPr>
          <w:rFonts w:cstheme="minorHAnsi"/>
          <w:sz w:val="24"/>
          <w:szCs w:val="24"/>
        </w:rPr>
        <w:t xml:space="preserve">from </w:t>
      </w:r>
      <w:r w:rsidR="00885BA4" w:rsidRPr="00946E97">
        <w:rPr>
          <w:rFonts w:cstheme="minorHAnsi"/>
          <w:sz w:val="24"/>
          <w:szCs w:val="24"/>
        </w:rPr>
        <w:t xml:space="preserve">zero drafts </w:t>
      </w:r>
      <w:r w:rsidR="002E682C">
        <w:rPr>
          <w:rFonts w:cstheme="minorHAnsi"/>
          <w:sz w:val="24"/>
          <w:szCs w:val="24"/>
        </w:rPr>
        <w:t xml:space="preserve">have also been </w:t>
      </w:r>
      <w:r w:rsidR="00AC5A45">
        <w:rPr>
          <w:rFonts w:cstheme="minorHAnsi"/>
          <w:sz w:val="24"/>
          <w:szCs w:val="24"/>
        </w:rPr>
        <w:t xml:space="preserve">incorporated and </w:t>
      </w:r>
      <w:r w:rsidR="00885BA4" w:rsidRPr="00946E97">
        <w:rPr>
          <w:rFonts w:cstheme="minorHAnsi"/>
          <w:sz w:val="24"/>
          <w:szCs w:val="24"/>
        </w:rPr>
        <w:t>reiterated</w:t>
      </w:r>
      <w:r w:rsidR="002E682C">
        <w:rPr>
          <w:rFonts w:cstheme="minorHAnsi"/>
          <w:sz w:val="24"/>
          <w:szCs w:val="24"/>
        </w:rPr>
        <w:t>.</w:t>
      </w:r>
    </w:p>
    <w:p w14:paraId="1A744E1F" w14:textId="77777777" w:rsidR="00A01331" w:rsidRPr="00946E97" w:rsidRDefault="00D2412A" w:rsidP="00D439AE">
      <w:pPr>
        <w:pStyle w:val="Heading1"/>
        <w:jc w:val="both"/>
        <w:rPr>
          <w:rFonts w:asciiTheme="minorHAnsi" w:hAnsiTheme="minorHAnsi" w:cstheme="minorHAnsi"/>
          <w:szCs w:val="24"/>
        </w:rPr>
      </w:pPr>
      <w:bookmarkStart w:id="2" w:name="_Toc43374604"/>
      <w:r w:rsidRPr="00946E97">
        <w:rPr>
          <w:rFonts w:asciiTheme="minorHAnsi" w:hAnsiTheme="minorHAnsi" w:cstheme="minorHAnsi"/>
          <w:szCs w:val="24"/>
        </w:rPr>
        <w:t>DECLARATION OF RIGHTS</w:t>
      </w:r>
      <w:bookmarkEnd w:id="2"/>
      <w:r w:rsidRPr="00946E97">
        <w:rPr>
          <w:rFonts w:asciiTheme="minorHAnsi" w:hAnsiTheme="minorHAnsi" w:cstheme="minorHAnsi"/>
          <w:szCs w:val="24"/>
        </w:rPr>
        <w:t xml:space="preserve"> </w:t>
      </w:r>
    </w:p>
    <w:p w14:paraId="7AE5C12B" w14:textId="77777777" w:rsidR="002E682C" w:rsidRDefault="00AC5A45" w:rsidP="00D439AE">
      <w:pPr>
        <w:jc w:val="both"/>
        <w:rPr>
          <w:rFonts w:cstheme="minorHAnsi"/>
          <w:sz w:val="24"/>
          <w:szCs w:val="24"/>
          <w:lang w:val="en-ZA"/>
        </w:rPr>
      </w:pPr>
      <w:r>
        <w:rPr>
          <w:rFonts w:cstheme="minorHAnsi"/>
          <w:sz w:val="24"/>
          <w:szCs w:val="24"/>
          <w:lang w:val="en-ZA"/>
        </w:rPr>
        <w:t xml:space="preserve">The </w:t>
      </w:r>
      <w:r w:rsidR="00FE3F18" w:rsidRPr="00946E97">
        <w:rPr>
          <w:rFonts w:cstheme="minorHAnsi"/>
          <w:sz w:val="24"/>
          <w:szCs w:val="24"/>
          <w:lang w:val="en-ZA"/>
        </w:rPr>
        <w:t xml:space="preserve">Bill </w:t>
      </w:r>
      <w:r>
        <w:rPr>
          <w:rFonts w:cstheme="minorHAnsi"/>
          <w:sz w:val="24"/>
          <w:szCs w:val="24"/>
          <w:lang w:val="en-ZA"/>
        </w:rPr>
        <w:t xml:space="preserve">is measured and reviewed </w:t>
      </w:r>
      <w:r w:rsidR="00FE3F18" w:rsidRPr="00946E97">
        <w:rPr>
          <w:rFonts w:cstheme="minorHAnsi"/>
          <w:sz w:val="24"/>
          <w:szCs w:val="24"/>
          <w:lang w:val="en-ZA"/>
        </w:rPr>
        <w:t xml:space="preserve">against </w:t>
      </w:r>
      <w:r w:rsidR="00263825" w:rsidRPr="00946E97">
        <w:rPr>
          <w:rFonts w:cstheme="minorHAnsi"/>
          <w:sz w:val="24"/>
          <w:szCs w:val="24"/>
          <w:lang w:val="en-ZA"/>
        </w:rPr>
        <w:t xml:space="preserve">the </w:t>
      </w:r>
      <w:r w:rsidR="00FE3F18" w:rsidRPr="00946E97">
        <w:rPr>
          <w:rFonts w:cstheme="minorHAnsi"/>
          <w:sz w:val="24"/>
          <w:szCs w:val="24"/>
          <w:lang w:val="en-ZA"/>
        </w:rPr>
        <w:t>Constitution</w:t>
      </w:r>
      <w:r w:rsidR="002E682C">
        <w:rPr>
          <w:rFonts w:cstheme="minorHAnsi"/>
          <w:sz w:val="24"/>
          <w:szCs w:val="24"/>
          <w:lang w:val="en-ZA"/>
        </w:rPr>
        <w:t xml:space="preserve"> which is the supreme law of the land</w:t>
      </w:r>
      <w:r>
        <w:rPr>
          <w:rFonts w:cstheme="minorHAnsi"/>
          <w:sz w:val="24"/>
          <w:szCs w:val="24"/>
          <w:lang w:val="en-ZA"/>
        </w:rPr>
        <w:t xml:space="preserve">. Of relevance </w:t>
      </w:r>
      <w:r w:rsidR="002E682C">
        <w:rPr>
          <w:rFonts w:cstheme="minorHAnsi"/>
          <w:sz w:val="24"/>
          <w:szCs w:val="24"/>
          <w:lang w:val="en-ZA"/>
        </w:rPr>
        <w:t>are the following sections</w:t>
      </w:r>
    </w:p>
    <w:p w14:paraId="5B307A84" w14:textId="77777777" w:rsidR="002E682C" w:rsidRPr="005A1CAD" w:rsidRDefault="00AC5A45" w:rsidP="005A1CAD">
      <w:pPr>
        <w:pStyle w:val="ListParagraph"/>
        <w:numPr>
          <w:ilvl w:val="0"/>
          <w:numId w:val="6"/>
        </w:numPr>
        <w:jc w:val="both"/>
        <w:rPr>
          <w:rFonts w:cstheme="minorHAnsi"/>
          <w:color w:val="000000"/>
          <w:sz w:val="24"/>
          <w:szCs w:val="24"/>
          <w:lang w:val="en-ZW"/>
        </w:rPr>
      </w:pPr>
      <w:r w:rsidRPr="005A1CAD">
        <w:rPr>
          <w:rFonts w:cstheme="minorHAnsi"/>
          <w:sz w:val="24"/>
          <w:szCs w:val="24"/>
          <w:lang w:val="en-ZA"/>
        </w:rPr>
        <w:t xml:space="preserve"> </w:t>
      </w:r>
      <w:r w:rsidR="002E682C">
        <w:rPr>
          <w:rFonts w:cstheme="minorHAnsi"/>
          <w:sz w:val="24"/>
          <w:szCs w:val="24"/>
          <w:lang w:val="en-ZA"/>
        </w:rPr>
        <w:t>S</w:t>
      </w:r>
      <w:r w:rsidR="00FE3F18" w:rsidRPr="005A1CAD">
        <w:rPr>
          <w:rFonts w:cstheme="minorHAnsi"/>
          <w:sz w:val="24"/>
          <w:szCs w:val="24"/>
          <w:lang w:val="en-ZA"/>
        </w:rPr>
        <w:t xml:space="preserve">ection 51 on the right to dignity; </w:t>
      </w:r>
    </w:p>
    <w:p w14:paraId="6DD9095E" w14:textId="77777777" w:rsidR="002E682C" w:rsidRPr="005A1CAD" w:rsidRDefault="002E682C" w:rsidP="005A1CAD">
      <w:pPr>
        <w:pStyle w:val="ListParagraph"/>
        <w:numPr>
          <w:ilvl w:val="0"/>
          <w:numId w:val="6"/>
        </w:numPr>
        <w:jc w:val="both"/>
        <w:rPr>
          <w:rFonts w:cstheme="minorHAnsi"/>
          <w:color w:val="000000"/>
          <w:sz w:val="24"/>
          <w:szCs w:val="24"/>
          <w:lang w:val="en-ZW"/>
        </w:rPr>
      </w:pPr>
      <w:r>
        <w:rPr>
          <w:rFonts w:cstheme="minorHAnsi"/>
          <w:sz w:val="24"/>
          <w:szCs w:val="24"/>
          <w:lang w:val="en-ZA"/>
        </w:rPr>
        <w:t>S</w:t>
      </w:r>
      <w:r w:rsidR="00FE3F18" w:rsidRPr="005A1CAD">
        <w:rPr>
          <w:rFonts w:cstheme="minorHAnsi"/>
          <w:sz w:val="24"/>
          <w:szCs w:val="24"/>
          <w:lang w:val="en-ZA"/>
        </w:rPr>
        <w:t xml:space="preserve">ection 52 on right to personal security; </w:t>
      </w:r>
    </w:p>
    <w:p w14:paraId="3A495F2C" w14:textId="77777777" w:rsidR="002E682C" w:rsidRPr="005A1CAD" w:rsidRDefault="002E682C" w:rsidP="005A1CAD">
      <w:pPr>
        <w:pStyle w:val="ListParagraph"/>
        <w:numPr>
          <w:ilvl w:val="0"/>
          <w:numId w:val="6"/>
        </w:numPr>
        <w:jc w:val="both"/>
        <w:rPr>
          <w:rFonts w:cstheme="minorHAnsi"/>
          <w:color w:val="000000"/>
          <w:sz w:val="24"/>
          <w:szCs w:val="24"/>
          <w:lang w:val="en-ZW"/>
        </w:rPr>
      </w:pPr>
      <w:r>
        <w:rPr>
          <w:rFonts w:cstheme="minorHAnsi"/>
          <w:sz w:val="24"/>
          <w:szCs w:val="24"/>
          <w:lang w:val="en-ZA"/>
        </w:rPr>
        <w:t>S</w:t>
      </w:r>
      <w:r w:rsidR="00FE3F18" w:rsidRPr="005A1CAD">
        <w:rPr>
          <w:rFonts w:cstheme="minorHAnsi"/>
          <w:sz w:val="24"/>
          <w:szCs w:val="24"/>
          <w:lang w:val="en-ZA"/>
        </w:rPr>
        <w:t xml:space="preserve">ection 57 on right to privacy; </w:t>
      </w:r>
    </w:p>
    <w:p w14:paraId="2BD4F6EC" w14:textId="77777777" w:rsidR="002E682C" w:rsidRPr="005A1CAD" w:rsidRDefault="002E682C" w:rsidP="005A1CAD">
      <w:pPr>
        <w:pStyle w:val="ListParagraph"/>
        <w:numPr>
          <w:ilvl w:val="0"/>
          <w:numId w:val="6"/>
        </w:numPr>
        <w:jc w:val="both"/>
        <w:rPr>
          <w:rFonts w:cstheme="minorHAnsi"/>
          <w:color w:val="000000"/>
          <w:sz w:val="24"/>
          <w:szCs w:val="24"/>
          <w:lang w:val="en-ZW"/>
        </w:rPr>
      </w:pPr>
      <w:r>
        <w:rPr>
          <w:rFonts w:cstheme="minorHAnsi"/>
          <w:sz w:val="24"/>
          <w:szCs w:val="24"/>
          <w:lang w:val="en-ZA"/>
        </w:rPr>
        <w:t>S</w:t>
      </w:r>
      <w:r w:rsidR="00FE3F18" w:rsidRPr="005A1CAD">
        <w:rPr>
          <w:rFonts w:cstheme="minorHAnsi"/>
          <w:sz w:val="24"/>
          <w:szCs w:val="24"/>
          <w:lang w:val="en-ZA"/>
        </w:rPr>
        <w:t>ection 61 and 62 on freedom of expression, freedom of the</w:t>
      </w:r>
      <w:r w:rsidR="004C0FDD" w:rsidRPr="005A1CAD">
        <w:rPr>
          <w:rFonts w:cstheme="minorHAnsi"/>
          <w:sz w:val="24"/>
          <w:szCs w:val="24"/>
          <w:lang w:val="en-ZA"/>
        </w:rPr>
        <w:t xml:space="preserve"> media</w:t>
      </w:r>
    </w:p>
    <w:p w14:paraId="241190B5" w14:textId="77777777" w:rsidR="002E682C" w:rsidRPr="005A1CAD" w:rsidRDefault="004C0FDD" w:rsidP="005A1CAD">
      <w:pPr>
        <w:pStyle w:val="ListParagraph"/>
        <w:numPr>
          <w:ilvl w:val="0"/>
          <w:numId w:val="6"/>
        </w:numPr>
        <w:jc w:val="both"/>
        <w:rPr>
          <w:rFonts w:cstheme="minorHAnsi"/>
          <w:color w:val="000000"/>
          <w:sz w:val="24"/>
          <w:szCs w:val="24"/>
          <w:lang w:val="en-ZW"/>
        </w:rPr>
      </w:pPr>
      <w:r w:rsidRPr="005A1CAD">
        <w:rPr>
          <w:rFonts w:cstheme="minorHAnsi"/>
          <w:sz w:val="24"/>
          <w:szCs w:val="24"/>
          <w:lang w:val="en-ZA"/>
        </w:rPr>
        <w:t xml:space="preserve"> </w:t>
      </w:r>
      <w:r w:rsidR="002E682C">
        <w:rPr>
          <w:rFonts w:cstheme="minorHAnsi"/>
          <w:sz w:val="24"/>
          <w:szCs w:val="24"/>
          <w:lang w:val="en-ZA"/>
        </w:rPr>
        <w:t>S</w:t>
      </w:r>
      <w:r w:rsidR="00FE3F18" w:rsidRPr="005A1CAD">
        <w:rPr>
          <w:rFonts w:cstheme="minorHAnsi"/>
          <w:sz w:val="24"/>
          <w:szCs w:val="24"/>
          <w:lang w:val="en-ZA"/>
        </w:rPr>
        <w:t>ection 68 on the right to administrative justice;</w:t>
      </w:r>
    </w:p>
    <w:p w14:paraId="50E9227B" w14:textId="77777777" w:rsidR="002E682C" w:rsidRPr="005A1CAD" w:rsidRDefault="002E682C" w:rsidP="005A1CAD">
      <w:pPr>
        <w:pStyle w:val="ListParagraph"/>
        <w:numPr>
          <w:ilvl w:val="0"/>
          <w:numId w:val="6"/>
        </w:numPr>
        <w:jc w:val="both"/>
        <w:rPr>
          <w:rFonts w:cstheme="minorHAnsi"/>
          <w:color w:val="000000"/>
          <w:sz w:val="24"/>
          <w:szCs w:val="24"/>
          <w:lang w:val="en-ZW"/>
        </w:rPr>
      </w:pPr>
      <w:r>
        <w:rPr>
          <w:rFonts w:cstheme="minorHAnsi"/>
          <w:sz w:val="24"/>
          <w:szCs w:val="24"/>
          <w:lang w:val="en-ZA"/>
        </w:rPr>
        <w:t>S</w:t>
      </w:r>
      <w:r w:rsidRPr="00500719">
        <w:rPr>
          <w:rFonts w:cstheme="minorHAnsi"/>
          <w:sz w:val="24"/>
          <w:szCs w:val="24"/>
          <w:lang w:val="en-ZA"/>
        </w:rPr>
        <w:t xml:space="preserve">ection 69 on right to a fair hearing; </w:t>
      </w:r>
      <w:r w:rsidR="00FE3F18" w:rsidRPr="005A1CAD">
        <w:rPr>
          <w:rFonts w:cstheme="minorHAnsi"/>
          <w:sz w:val="24"/>
          <w:szCs w:val="24"/>
          <w:lang w:val="en-ZA"/>
        </w:rPr>
        <w:t xml:space="preserve"> </w:t>
      </w:r>
    </w:p>
    <w:p w14:paraId="1ADCA167" w14:textId="77777777" w:rsidR="002E682C" w:rsidRPr="005A1CAD" w:rsidRDefault="002E682C" w:rsidP="005A1CAD">
      <w:pPr>
        <w:pStyle w:val="ListParagraph"/>
        <w:numPr>
          <w:ilvl w:val="0"/>
          <w:numId w:val="6"/>
        </w:numPr>
        <w:jc w:val="both"/>
        <w:rPr>
          <w:rFonts w:cstheme="minorHAnsi"/>
          <w:color w:val="000000"/>
          <w:sz w:val="24"/>
          <w:szCs w:val="24"/>
          <w:lang w:val="en-ZW"/>
        </w:rPr>
      </w:pPr>
      <w:r>
        <w:rPr>
          <w:rFonts w:cstheme="minorHAnsi"/>
          <w:sz w:val="24"/>
          <w:szCs w:val="24"/>
          <w:lang w:val="en-ZA"/>
        </w:rPr>
        <w:t>S</w:t>
      </w:r>
      <w:r w:rsidR="00FE3F18" w:rsidRPr="005A1CAD">
        <w:rPr>
          <w:rFonts w:cstheme="minorHAnsi"/>
          <w:sz w:val="24"/>
          <w:szCs w:val="24"/>
          <w:lang w:val="en-ZA"/>
        </w:rPr>
        <w:t>ection 70 on the rights of accused persons</w:t>
      </w:r>
    </w:p>
    <w:p w14:paraId="1D28A24B" w14:textId="77777777" w:rsidR="002E682C" w:rsidRPr="005A1CAD" w:rsidRDefault="002E682C" w:rsidP="005A1CAD">
      <w:pPr>
        <w:pStyle w:val="ListParagraph"/>
        <w:numPr>
          <w:ilvl w:val="0"/>
          <w:numId w:val="6"/>
        </w:numPr>
        <w:jc w:val="both"/>
        <w:rPr>
          <w:rFonts w:cstheme="minorHAnsi"/>
          <w:color w:val="000000"/>
          <w:sz w:val="24"/>
          <w:szCs w:val="24"/>
          <w:lang w:val="en-ZW"/>
        </w:rPr>
      </w:pPr>
      <w:r>
        <w:rPr>
          <w:rFonts w:cstheme="minorHAnsi"/>
          <w:sz w:val="24"/>
          <w:szCs w:val="24"/>
          <w:lang w:val="en-ZA"/>
        </w:rPr>
        <w:t>S</w:t>
      </w:r>
      <w:r w:rsidR="00FE3F18" w:rsidRPr="005A1CAD">
        <w:rPr>
          <w:rFonts w:cstheme="minorHAnsi"/>
          <w:sz w:val="24"/>
          <w:szCs w:val="24"/>
          <w:lang w:val="en-ZA"/>
        </w:rPr>
        <w:t>ection 81 on rights of children prot</w:t>
      </w:r>
      <w:r w:rsidR="00AC5A45" w:rsidRPr="005A1CAD">
        <w:rPr>
          <w:rFonts w:cstheme="minorHAnsi"/>
          <w:sz w:val="24"/>
          <w:szCs w:val="24"/>
          <w:lang w:val="en-ZA"/>
        </w:rPr>
        <w:t xml:space="preserve">ection from sexual exploitation. </w:t>
      </w:r>
    </w:p>
    <w:p w14:paraId="3AE6E1BA" w14:textId="77777777" w:rsidR="00AC5A45" w:rsidRPr="005A1CAD" w:rsidRDefault="00AC5A45" w:rsidP="00B04AC6">
      <w:pPr>
        <w:jc w:val="both"/>
        <w:rPr>
          <w:rFonts w:cstheme="minorHAnsi"/>
          <w:color w:val="000000"/>
          <w:sz w:val="24"/>
          <w:szCs w:val="24"/>
          <w:lang w:val="en-ZW"/>
        </w:rPr>
      </w:pPr>
      <w:r w:rsidRPr="005A1CAD">
        <w:rPr>
          <w:rFonts w:cstheme="minorHAnsi"/>
          <w:sz w:val="24"/>
          <w:szCs w:val="24"/>
          <w:lang w:val="en-ZA"/>
        </w:rPr>
        <w:t xml:space="preserve">These rights while clearly framed in the Constitution, are not the only ‘rights’. </w:t>
      </w:r>
      <w:r w:rsidR="00814CA3" w:rsidRPr="005A1CAD">
        <w:rPr>
          <w:rFonts w:cstheme="minorHAnsi"/>
          <w:color w:val="000000"/>
          <w:sz w:val="24"/>
          <w:szCs w:val="24"/>
          <w:lang w:val="en-ZW"/>
        </w:rPr>
        <w:t>The term ‘right’ should not be limited to rights that are only provided for under the Constitutions’ Declaration of Rights.  The Constitution</w:t>
      </w:r>
      <w:r w:rsidR="002E682C">
        <w:rPr>
          <w:rFonts w:cstheme="minorHAnsi"/>
          <w:color w:val="000000"/>
          <w:sz w:val="24"/>
          <w:szCs w:val="24"/>
          <w:lang w:val="en-ZW"/>
        </w:rPr>
        <w:t xml:space="preserve"> </w:t>
      </w:r>
      <w:r w:rsidR="00E46AB9">
        <w:rPr>
          <w:rFonts w:cstheme="minorHAnsi"/>
          <w:color w:val="000000"/>
          <w:sz w:val="24"/>
          <w:szCs w:val="24"/>
          <w:lang w:val="en-ZW"/>
        </w:rPr>
        <w:t xml:space="preserve">in section </w:t>
      </w:r>
      <w:r w:rsidR="00814CA3" w:rsidRPr="005A1CAD">
        <w:rPr>
          <w:rFonts w:cstheme="minorHAnsi"/>
          <w:color w:val="000000"/>
          <w:sz w:val="24"/>
          <w:szCs w:val="24"/>
          <w:lang w:val="en-ZW"/>
        </w:rPr>
        <w:t xml:space="preserve">47 provides that the entrenchment of the Declaration of Rights “does not preclude the existence of other rights and freedoms that may be recognised or conferred by law, to the extent that they are consistent with this Constitution”. </w:t>
      </w:r>
      <w:r w:rsidR="00B44903" w:rsidRPr="005A1CAD">
        <w:rPr>
          <w:rFonts w:cstheme="minorHAnsi"/>
          <w:color w:val="000000"/>
          <w:sz w:val="24"/>
          <w:szCs w:val="24"/>
          <w:lang w:val="en-ZW"/>
        </w:rPr>
        <w:t>Mavedzenge (2017) observed that</w:t>
      </w:r>
      <w:r w:rsidR="00814CA3" w:rsidRPr="005A1CAD">
        <w:rPr>
          <w:rFonts w:cstheme="minorHAnsi"/>
          <w:color w:val="000000"/>
          <w:sz w:val="24"/>
          <w:szCs w:val="24"/>
        </w:rPr>
        <w:t xml:space="preserve"> </w:t>
      </w:r>
      <w:r w:rsidR="00B44903" w:rsidRPr="005A1CAD">
        <w:rPr>
          <w:rFonts w:cstheme="minorHAnsi"/>
          <w:color w:val="000000"/>
          <w:sz w:val="24"/>
          <w:szCs w:val="24"/>
        </w:rPr>
        <w:t>“</w:t>
      </w:r>
      <w:r w:rsidR="00814CA3" w:rsidRPr="005A1CAD">
        <w:rPr>
          <w:rFonts w:cstheme="minorHAnsi"/>
          <w:color w:val="000000"/>
          <w:sz w:val="24"/>
          <w:szCs w:val="24"/>
        </w:rPr>
        <w:t>the term ‘any right’ include</w:t>
      </w:r>
      <w:r w:rsidR="002E682C">
        <w:rPr>
          <w:rFonts w:cstheme="minorHAnsi"/>
          <w:color w:val="000000"/>
          <w:sz w:val="24"/>
          <w:szCs w:val="24"/>
        </w:rPr>
        <w:t>s</w:t>
      </w:r>
      <w:r w:rsidR="00814CA3" w:rsidRPr="005A1CAD">
        <w:rPr>
          <w:rFonts w:cstheme="minorHAnsi"/>
          <w:color w:val="000000"/>
          <w:sz w:val="24"/>
          <w:szCs w:val="24"/>
        </w:rPr>
        <w:t xml:space="preserve"> those rights conferred upon the citizens by </w:t>
      </w:r>
      <w:r w:rsidR="00814CA3" w:rsidRPr="005A1CAD">
        <w:rPr>
          <w:rFonts w:cstheme="minorHAnsi"/>
          <w:color w:val="000000"/>
          <w:sz w:val="24"/>
          <w:szCs w:val="24"/>
        </w:rPr>
        <w:lastRenderedPageBreak/>
        <w:t>any legislation, common law, customary law or international law that is applicable in Zimbabwe</w:t>
      </w:r>
      <w:r w:rsidR="00B44903" w:rsidRPr="005A1CAD">
        <w:rPr>
          <w:rFonts w:cstheme="minorHAnsi"/>
          <w:color w:val="000000"/>
          <w:sz w:val="24"/>
          <w:szCs w:val="24"/>
        </w:rPr>
        <w:t>”</w:t>
      </w:r>
      <w:r w:rsidR="00814CA3" w:rsidRPr="005A1CAD">
        <w:rPr>
          <w:rFonts w:cstheme="minorHAnsi"/>
          <w:color w:val="000000"/>
          <w:sz w:val="24"/>
          <w:szCs w:val="24"/>
        </w:rPr>
        <w:t>.</w:t>
      </w:r>
      <w:r w:rsidR="002727AB" w:rsidRPr="00946E97">
        <w:rPr>
          <w:rStyle w:val="FootnoteReference"/>
          <w:rFonts w:cstheme="minorHAnsi"/>
          <w:color w:val="000000"/>
          <w:sz w:val="24"/>
          <w:szCs w:val="24"/>
        </w:rPr>
        <w:footnoteReference w:id="2"/>
      </w:r>
      <w:r w:rsidRPr="005A1CAD">
        <w:rPr>
          <w:rFonts w:cstheme="minorHAnsi"/>
          <w:color w:val="000000"/>
          <w:sz w:val="24"/>
          <w:szCs w:val="24"/>
          <w:lang w:val="en-ZW"/>
        </w:rPr>
        <w:t xml:space="preserve"> </w:t>
      </w:r>
    </w:p>
    <w:p w14:paraId="466E652D" w14:textId="77777777" w:rsidR="00814CA3" w:rsidRPr="00AC5A45" w:rsidRDefault="008B78EF" w:rsidP="00D439AE">
      <w:pPr>
        <w:jc w:val="both"/>
        <w:rPr>
          <w:rFonts w:cstheme="minorHAnsi"/>
          <w:sz w:val="24"/>
          <w:szCs w:val="24"/>
          <w:lang w:val="en-ZA"/>
        </w:rPr>
      </w:pPr>
      <w:r>
        <w:rPr>
          <w:rFonts w:cstheme="minorHAnsi"/>
          <w:color w:val="000000"/>
          <w:sz w:val="24"/>
          <w:szCs w:val="24"/>
          <w:lang w:val="en-ZW"/>
        </w:rPr>
        <w:t xml:space="preserve">Zimbabwe </w:t>
      </w:r>
      <w:r w:rsidR="00AC5A45" w:rsidRPr="00946E97">
        <w:rPr>
          <w:rFonts w:cstheme="minorHAnsi"/>
          <w:color w:val="000000"/>
          <w:sz w:val="24"/>
          <w:szCs w:val="24"/>
          <w:lang w:val="en-ZW"/>
        </w:rPr>
        <w:t>ratified the African Charter on Human and Peoples Rights, the International Covenant on Civil an</w:t>
      </w:r>
      <w:r w:rsidR="00AC5A45">
        <w:rPr>
          <w:rFonts w:cstheme="minorHAnsi"/>
          <w:color w:val="000000"/>
          <w:sz w:val="24"/>
          <w:szCs w:val="24"/>
          <w:lang w:val="en-ZW"/>
        </w:rPr>
        <w:t>d Political Rights</w:t>
      </w:r>
      <w:r w:rsidR="00AC5A45" w:rsidRPr="00946E97">
        <w:rPr>
          <w:rFonts w:cstheme="minorHAnsi"/>
          <w:color w:val="000000"/>
          <w:sz w:val="24"/>
          <w:szCs w:val="24"/>
          <w:lang w:val="en-ZW"/>
        </w:rPr>
        <w:t xml:space="preserve">. Other international instruments include </w:t>
      </w:r>
      <w:r w:rsidR="00AC5A45" w:rsidRPr="00946E97">
        <w:rPr>
          <w:rFonts w:cstheme="minorHAnsi"/>
          <w:sz w:val="24"/>
          <w:szCs w:val="24"/>
        </w:rPr>
        <w:t>the United Nations Convention Against Transnational Organized Crime, and its Protocol to Prevent, Punish and Suppress Trafficking in Persons, Especially Women and Children.</w:t>
      </w:r>
      <w:r w:rsidR="00AC5A45">
        <w:rPr>
          <w:rFonts w:cstheme="minorHAnsi"/>
          <w:sz w:val="24"/>
          <w:szCs w:val="24"/>
        </w:rPr>
        <w:t xml:space="preserve"> All these instruments have rights that are not inconsistent with the Constitution.</w:t>
      </w:r>
    </w:p>
    <w:p w14:paraId="142C4990" w14:textId="77777777" w:rsidR="00E60260" w:rsidRPr="00946E97" w:rsidRDefault="006F149B" w:rsidP="00D439AE">
      <w:pPr>
        <w:jc w:val="both"/>
        <w:rPr>
          <w:rFonts w:cstheme="minorHAnsi"/>
          <w:sz w:val="24"/>
          <w:szCs w:val="24"/>
        </w:rPr>
      </w:pPr>
      <w:r w:rsidRPr="00946E97">
        <w:rPr>
          <w:rFonts w:cstheme="minorHAnsi"/>
          <w:sz w:val="24"/>
          <w:szCs w:val="24"/>
        </w:rPr>
        <w:t xml:space="preserve">Section 326 of the Constitution provides that </w:t>
      </w:r>
      <w:r w:rsidR="00695391" w:rsidRPr="00946E97">
        <w:rPr>
          <w:rFonts w:cstheme="minorHAnsi"/>
          <w:color w:val="000000"/>
          <w:sz w:val="24"/>
          <w:szCs w:val="24"/>
          <w:lang w:val="en-ZW"/>
        </w:rPr>
        <w:t>c</w:t>
      </w:r>
      <w:r w:rsidRPr="00946E97">
        <w:rPr>
          <w:rFonts w:cstheme="minorHAnsi"/>
          <w:color w:val="000000"/>
          <w:sz w:val="24"/>
          <w:szCs w:val="24"/>
          <w:lang w:val="en-ZW"/>
        </w:rPr>
        <w:t xml:space="preserve">ustomary international law is part of the law of Zimbabwe, unless it is inconsistent with this Constitution or an Act of Parliament, and “when interpreting legislation, every court and tribunal must adopt any reasonable interpretation of the legislation that is consistent with customary international law </w:t>
      </w:r>
      <w:r w:rsidRPr="00946E97">
        <w:rPr>
          <w:rFonts w:cstheme="minorHAnsi"/>
          <w:color w:val="000000"/>
          <w:sz w:val="24"/>
          <w:szCs w:val="24"/>
        </w:rPr>
        <w:t>applicable in Zimbabwe</w:t>
      </w:r>
      <w:r w:rsidRPr="00946E97">
        <w:rPr>
          <w:rFonts w:cstheme="minorHAnsi"/>
          <w:color w:val="000000"/>
          <w:sz w:val="24"/>
          <w:szCs w:val="24"/>
          <w:lang w:val="en-ZW"/>
        </w:rPr>
        <w:t xml:space="preserve">, in preference to an alternative interpretation inconsistent with that law”. This provision is progressive. The rights </w:t>
      </w:r>
      <w:r w:rsidR="008B78EF">
        <w:rPr>
          <w:rFonts w:cstheme="minorHAnsi"/>
          <w:color w:val="000000"/>
          <w:sz w:val="24"/>
          <w:szCs w:val="24"/>
          <w:lang w:val="en-ZW"/>
        </w:rPr>
        <w:t xml:space="preserve">might not be incorporated in domestic law, but they are not inconsistent either. The </w:t>
      </w:r>
      <w:r w:rsidRPr="00946E97">
        <w:rPr>
          <w:rFonts w:cstheme="minorHAnsi"/>
          <w:color w:val="000000"/>
          <w:sz w:val="24"/>
          <w:szCs w:val="24"/>
          <w:lang w:val="en-ZW"/>
        </w:rPr>
        <w:t xml:space="preserve">state is encouraged to not interpret rights contrary to international law. Section 327 provides for ratification of </w:t>
      </w:r>
      <w:r w:rsidR="00E619BE" w:rsidRPr="00946E97">
        <w:rPr>
          <w:rFonts w:cstheme="minorHAnsi"/>
          <w:color w:val="000000"/>
          <w:sz w:val="24"/>
          <w:szCs w:val="24"/>
          <w:lang w:val="en-ZW"/>
        </w:rPr>
        <w:t>international</w:t>
      </w:r>
      <w:r w:rsidRPr="00946E97">
        <w:rPr>
          <w:rFonts w:cstheme="minorHAnsi"/>
          <w:color w:val="000000"/>
          <w:sz w:val="24"/>
          <w:szCs w:val="24"/>
          <w:lang w:val="en-ZW"/>
        </w:rPr>
        <w:t xml:space="preserve"> tre</w:t>
      </w:r>
      <w:r w:rsidR="00B44903" w:rsidRPr="00946E97">
        <w:rPr>
          <w:rFonts w:cstheme="minorHAnsi"/>
          <w:color w:val="000000"/>
          <w:sz w:val="24"/>
          <w:szCs w:val="24"/>
          <w:lang w:val="en-ZW"/>
        </w:rPr>
        <w:t xml:space="preserve">aties and conventions, and their subsequent domestication. </w:t>
      </w:r>
    </w:p>
    <w:p w14:paraId="020EE778" w14:textId="77777777" w:rsidR="004723ED" w:rsidRPr="00946E97" w:rsidRDefault="00D2412A" w:rsidP="00D439AE">
      <w:pPr>
        <w:pStyle w:val="Heading1"/>
        <w:jc w:val="both"/>
        <w:rPr>
          <w:rFonts w:asciiTheme="minorHAnsi" w:hAnsiTheme="minorHAnsi" w:cstheme="minorHAnsi"/>
          <w:szCs w:val="24"/>
          <w:lang w:val="en-ZA"/>
        </w:rPr>
      </w:pPr>
      <w:bookmarkStart w:id="3" w:name="_Toc43374605"/>
      <w:r w:rsidRPr="00946E97">
        <w:rPr>
          <w:rFonts w:asciiTheme="minorHAnsi" w:hAnsiTheme="minorHAnsi" w:cstheme="minorHAnsi"/>
          <w:szCs w:val="24"/>
        </w:rPr>
        <w:t>SUMMARY STRUCTURE OF THE BILL</w:t>
      </w:r>
      <w:bookmarkEnd w:id="3"/>
    </w:p>
    <w:p w14:paraId="10D28505" w14:textId="77777777" w:rsidR="00B17A9B" w:rsidRDefault="009A67B3" w:rsidP="005A1CAD">
      <w:pPr>
        <w:pStyle w:val="ListParagraph"/>
        <w:numPr>
          <w:ilvl w:val="0"/>
          <w:numId w:val="7"/>
        </w:numPr>
        <w:jc w:val="both"/>
        <w:rPr>
          <w:rFonts w:cstheme="minorHAnsi"/>
          <w:iCs/>
          <w:sz w:val="24"/>
          <w:szCs w:val="24"/>
        </w:rPr>
      </w:pPr>
      <w:r w:rsidRPr="005A1CAD">
        <w:rPr>
          <w:rFonts w:cstheme="minorHAnsi"/>
          <w:iCs/>
          <w:sz w:val="24"/>
          <w:szCs w:val="24"/>
        </w:rPr>
        <w:t>Part I</w:t>
      </w:r>
      <w:r w:rsidR="00B328DE" w:rsidRPr="005A1CAD">
        <w:rPr>
          <w:rFonts w:cstheme="minorHAnsi"/>
          <w:iCs/>
          <w:sz w:val="24"/>
          <w:szCs w:val="24"/>
        </w:rPr>
        <w:t xml:space="preserve"> of the Bill covers </w:t>
      </w:r>
      <w:r w:rsidR="00436246" w:rsidRPr="005A1CAD">
        <w:rPr>
          <w:rFonts w:cstheme="minorHAnsi"/>
          <w:iCs/>
          <w:sz w:val="24"/>
          <w:szCs w:val="24"/>
        </w:rPr>
        <w:t>objects, d</w:t>
      </w:r>
      <w:r w:rsidR="00B328DE" w:rsidRPr="005A1CAD">
        <w:rPr>
          <w:rFonts w:cstheme="minorHAnsi"/>
          <w:iCs/>
          <w:sz w:val="24"/>
          <w:szCs w:val="24"/>
        </w:rPr>
        <w:t>efinitions and scope of application Bi</w:t>
      </w:r>
      <w:r w:rsidRPr="005A1CAD">
        <w:rPr>
          <w:rFonts w:cstheme="minorHAnsi"/>
          <w:iCs/>
          <w:sz w:val="24"/>
          <w:szCs w:val="24"/>
        </w:rPr>
        <w:t>ll</w:t>
      </w:r>
      <w:r w:rsidR="00B328DE" w:rsidRPr="005A1CAD">
        <w:rPr>
          <w:rFonts w:cstheme="minorHAnsi"/>
          <w:iCs/>
          <w:sz w:val="24"/>
          <w:szCs w:val="24"/>
        </w:rPr>
        <w:t>.</w:t>
      </w:r>
    </w:p>
    <w:p w14:paraId="7745BA8D" w14:textId="77777777" w:rsidR="00B17A9B" w:rsidRPr="005A1CAD" w:rsidRDefault="00B328DE" w:rsidP="005A1CAD">
      <w:pPr>
        <w:pStyle w:val="ListParagraph"/>
        <w:numPr>
          <w:ilvl w:val="0"/>
          <w:numId w:val="7"/>
        </w:numPr>
        <w:jc w:val="both"/>
        <w:rPr>
          <w:rFonts w:cstheme="minorHAnsi"/>
          <w:iCs/>
          <w:sz w:val="24"/>
          <w:szCs w:val="24"/>
        </w:rPr>
      </w:pPr>
      <w:r w:rsidRPr="005A1CAD">
        <w:rPr>
          <w:rFonts w:cstheme="minorHAnsi"/>
          <w:iCs/>
          <w:sz w:val="24"/>
          <w:szCs w:val="24"/>
        </w:rPr>
        <w:t xml:space="preserve"> </w:t>
      </w:r>
      <w:r w:rsidR="009A67B3" w:rsidRPr="005A1CAD">
        <w:rPr>
          <w:rFonts w:cstheme="minorHAnsi"/>
          <w:iCs/>
          <w:sz w:val="24"/>
          <w:szCs w:val="24"/>
        </w:rPr>
        <w:t>Part II</w:t>
      </w:r>
      <w:r w:rsidRPr="005A1CAD">
        <w:rPr>
          <w:rFonts w:cstheme="minorHAnsi"/>
          <w:iCs/>
          <w:sz w:val="24"/>
          <w:szCs w:val="24"/>
        </w:rPr>
        <w:t xml:space="preserve"> </w:t>
      </w:r>
      <w:r w:rsidR="0052687A" w:rsidRPr="005A1CAD">
        <w:rPr>
          <w:rFonts w:cstheme="minorHAnsi"/>
          <w:iCs/>
          <w:sz w:val="24"/>
          <w:szCs w:val="24"/>
        </w:rPr>
        <w:t>sets</w:t>
      </w:r>
      <w:r w:rsidR="00436246" w:rsidRPr="005A1CAD">
        <w:rPr>
          <w:rFonts w:cstheme="minorHAnsi"/>
          <w:iCs/>
          <w:sz w:val="24"/>
          <w:szCs w:val="24"/>
        </w:rPr>
        <w:t xml:space="preserve"> out</w:t>
      </w:r>
      <w:r w:rsidR="0052687A" w:rsidRPr="005A1CAD">
        <w:rPr>
          <w:rFonts w:cstheme="minorHAnsi"/>
          <w:iCs/>
          <w:sz w:val="24"/>
          <w:szCs w:val="24"/>
        </w:rPr>
        <w:t xml:space="preserve"> the Cyber Security </w:t>
      </w:r>
      <w:r w:rsidR="00436246" w:rsidRPr="005A1CAD">
        <w:rPr>
          <w:rFonts w:cstheme="minorHAnsi"/>
          <w:iCs/>
          <w:sz w:val="24"/>
          <w:szCs w:val="24"/>
        </w:rPr>
        <w:t xml:space="preserve">Centre under </w:t>
      </w:r>
      <w:r w:rsidR="0052687A" w:rsidRPr="005A1CAD">
        <w:rPr>
          <w:rFonts w:cstheme="minorHAnsi"/>
          <w:sz w:val="24"/>
          <w:szCs w:val="24"/>
          <w:lang w:val="en-ZA"/>
        </w:rPr>
        <w:t xml:space="preserve">Postal and Telecommunications Regulatory Authority of Zimbabwe (POTRAZ). In addition to setting up the Cyber Security Centre, this part provides for its functions. </w:t>
      </w:r>
    </w:p>
    <w:p w14:paraId="4912AABC" w14:textId="77777777" w:rsidR="00B17A9B" w:rsidRPr="00B04AC6" w:rsidRDefault="0052687A" w:rsidP="005A1CAD">
      <w:pPr>
        <w:pStyle w:val="ListParagraph"/>
        <w:numPr>
          <w:ilvl w:val="0"/>
          <w:numId w:val="7"/>
        </w:numPr>
        <w:jc w:val="both"/>
        <w:rPr>
          <w:rFonts w:cstheme="minorHAnsi"/>
          <w:iCs/>
          <w:sz w:val="24"/>
          <w:szCs w:val="24"/>
        </w:rPr>
      </w:pPr>
      <w:r w:rsidRPr="005A1CAD">
        <w:rPr>
          <w:rFonts w:cstheme="minorHAnsi"/>
          <w:sz w:val="24"/>
          <w:szCs w:val="24"/>
          <w:lang w:val="en-ZA"/>
        </w:rPr>
        <w:t xml:space="preserve">Part III </w:t>
      </w:r>
      <w:r w:rsidR="004902DF" w:rsidRPr="005A1CAD">
        <w:rPr>
          <w:rFonts w:cstheme="minorHAnsi"/>
          <w:sz w:val="24"/>
          <w:szCs w:val="24"/>
          <w:lang w:val="en-ZA"/>
        </w:rPr>
        <w:t xml:space="preserve">designates POTRAZ </w:t>
      </w:r>
      <w:r w:rsidR="004902DF" w:rsidRPr="005A1CAD">
        <w:rPr>
          <w:rFonts w:cstheme="minorHAnsi"/>
          <w:sz w:val="24"/>
          <w:szCs w:val="24"/>
        </w:rPr>
        <w:t>as Data Protection Authority</w:t>
      </w:r>
      <w:r w:rsidR="00A50C97" w:rsidRPr="005A1CAD">
        <w:rPr>
          <w:rFonts w:cstheme="minorHAnsi"/>
          <w:sz w:val="24"/>
          <w:szCs w:val="24"/>
        </w:rPr>
        <w:t xml:space="preserve"> (DPA/Authority)</w:t>
      </w:r>
      <w:r w:rsidR="004902DF" w:rsidRPr="005A1CAD">
        <w:rPr>
          <w:rFonts w:cstheme="minorHAnsi"/>
          <w:sz w:val="24"/>
          <w:szCs w:val="24"/>
        </w:rPr>
        <w:t xml:space="preserve"> and its functions.</w:t>
      </w:r>
    </w:p>
    <w:p w14:paraId="6C2CBD58" w14:textId="77777777" w:rsidR="00B17A9B" w:rsidRDefault="004902DF" w:rsidP="005A1CAD">
      <w:pPr>
        <w:pStyle w:val="ListParagraph"/>
        <w:numPr>
          <w:ilvl w:val="0"/>
          <w:numId w:val="7"/>
        </w:numPr>
        <w:jc w:val="both"/>
        <w:rPr>
          <w:rFonts w:cstheme="minorHAnsi"/>
          <w:iCs/>
          <w:sz w:val="24"/>
          <w:szCs w:val="24"/>
        </w:rPr>
      </w:pPr>
      <w:r w:rsidRPr="005A1CAD">
        <w:rPr>
          <w:rFonts w:cstheme="minorHAnsi"/>
          <w:iCs/>
          <w:sz w:val="24"/>
          <w:szCs w:val="24"/>
        </w:rPr>
        <w:t>Part IV and V</w:t>
      </w:r>
      <w:r w:rsidR="004F241F" w:rsidRPr="005A1CAD">
        <w:rPr>
          <w:rFonts w:cstheme="minorHAnsi"/>
          <w:iCs/>
          <w:sz w:val="24"/>
          <w:szCs w:val="24"/>
        </w:rPr>
        <w:t xml:space="preserve"> provides on minimum standards and general rules for a data controller processing of data. </w:t>
      </w:r>
    </w:p>
    <w:p w14:paraId="0B68CB03" w14:textId="77777777" w:rsidR="00B17A9B" w:rsidRPr="005A1CAD" w:rsidRDefault="004F241F" w:rsidP="005A1CAD">
      <w:pPr>
        <w:pStyle w:val="ListParagraph"/>
        <w:numPr>
          <w:ilvl w:val="0"/>
          <w:numId w:val="7"/>
        </w:numPr>
        <w:jc w:val="both"/>
        <w:rPr>
          <w:rFonts w:cstheme="minorHAnsi"/>
          <w:iCs/>
          <w:sz w:val="24"/>
          <w:szCs w:val="24"/>
        </w:rPr>
      </w:pPr>
      <w:r w:rsidRPr="005A1CAD">
        <w:rPr>
          <w:rFonts w:cstheme="minorHAnsi"/>
          <w:iCs/>
          <w:sz w:val="24"/>
          <w:szCs w:val="24"/>
        </w:rPr>
        <w:t xml:space="preserve">Part VI provides for principles guiding data controllers, which include </w:t>
      </w:r>
      <w:r w:rsidR="004902DF" w:rsidRPr="005A1CAD">
        <w:rPr>
          <w:rFonts w:cstheme="minorHAnsi"/>
          <w:sz w:val="24"/>
          <w:szCs w:val="24"/>
        </w:rPr>
        <w:t>security, integrity and confidentiality</w:t>
      </w:r>
      <w:r w:rsidRPr="005A1CAD">
        <w:rPr>
          <w:rFonts w:cstheme="minorHAnsi"/>
          <w:iCs/>
          <w:sz w:val="24"/>
          <w:szCs w:val="24"/>
        </w:rPr>
        <w:t>. This part also covers notification procedures for data breaches.</w:t>
      </w:r>
      <w:r w:rsidR="00636850" w:rsidRPr="005A1CAD">
        <w:rPr>
          <w:rFonts w:cstheme="minorHAnsi"/>
          <w:iCs/>
          <w:sz w:val="24"/>
          <w:szCs w:val="24"/>
        </w:rPr>
        <w:t xml:space="preserve"> </w:t>
      </w:r>
    </w:p>
    <w:p w14:paraId="4E40F740" w14:textId="77777777" w:rsidR="00B17A9B" w:rsidRPr="00B04AC6" w:rsidRDefault="008A25BF" w:rsidP="005A1CAD">
      <w:pPr>
        <w:pStyle w:val="ListParagraph"/>
        <w:numPr>
          <w:ilvl w:val="0"/>
          <w:numId w:val="7"/>
        </w:numPr>
        <w:jc w:val="both"/>
        <w:rPr>
          <w:rFonts w:cstheme="minorHAnsi"/>
          <w:iCs/>
          <w:sz w:val="24"/>
          <w:szCs w:val="24"/>
        </w:rPr>
      </w:pPr>
      <w:r w:rsidRPr="005A1CAD">
        <w:rPr>
          <w:rFonts w:cstheme="minorHAnsi"/>
          <w:sz w:val="24"/>
          <w:szCs w:val="24"/>
        </w:rPr>
        <w:t>Part VII provide</w:t>
      </w:r>
      <w:r w:rsidR="00BA1C4B" w:rsidRPr="005A1CAD">
        <w:rPr>
          <w:rFonts w:cstheme="minorHAnsi"/>
          <w:sz w:val="24"/>
          <w:szCs w:val="24"/>
        </w:rPr>
        <w:t>s</w:t>
      </w:r>
      <w:r w:rsidRPr="005A1CAD">
        <w:rPr>
          <w:rFonts w:cstheme="minorHAnsi"/>
          <w:sz w:val="24"/>
          <w:szCs w:val="24"/>
        </w:rPr>
        <w:t xml:space="preserve"> protection for data subjects on automated data processing decisions, and the recourse for violation of rights. Data subjects with legal incapacitation are also covered. </w:t>
      </w:r>
    </w:p>
    <w:p w14:paraId="2D5A1ED4" w14:textId="77777777" w:rsidR="00B17A9B" w:rsidRPr="00B04AC6" w:rsidRDefault="008A25BF" w:rsidP="005A1CAD">
      <w:pPr>
        <w:pStyle w:val="ListParagraph"/>
        <w:numPr>
          <w:ilvl w:val="0"/>
          <w:numId w:val="7"/>
        </w:numPr>
        <w:jc w:val="both"/>
        <w:rPr>
          <w:rFonts w:cstheme="minorHAnsi"/>
          <w:iCs/>
          <w:sz w:val="24"/>
          <w:szCs w:val="24"/>
        </w:rPr>
      </w:pPr>
      <w:r w:rsidRPr="005A1CAD">
        <w:rPr>
          <w:rFonts w:cstheme="minorHAnsi"/>
          <w:sz w:val="24"/>
          <w:szCs w:val="24"/>
        </w:rPr>
        <w:t xml:space="preserve">Part VIII focuses on </w:t>
      </w:r>
      <w:r w:rsidR="00707908" w:rsidRPr="005A1CAD">
        <w:rPr>
          <w:rFonts w:cstheme="minorHAnsi"/>
          <w:sz w:val="24"/>
          <w:szCs w:val="24"/>
        </w:rPr>
        <w:t xml:space="preserve">cross border transfer of data, and permissibility, and authorization of the same. </w:t>
      </w:r>
    </w:p>
    <w:p w14:paraId="755D76EA" w14:textId="77777777" w:rsidR="00B17A9B" w:rsidRPr="00B04AC6" w:rsidRDefault="00707908" w:rsidP="005A1CAD">
      <w:pPr>
        <w:pStyle w:val="ListParagraph"/>
        <w:numPr>
          <w:ilvl w:val="0"/>
          <w:numId w:val="7"/>
        </w:numPr>
        <w:jc w:val="both"/>
        <w:rPr>
          <w:rFonts w:cstheme="minorHAnsi"/>
          <w:iCs/>
          <w:sz w:val="24"/>
          <w:szCs w:val="24"/>
        </w:rPr>
      </w:pPr>
      <w:r w:rsidRPr="005A1CAD">
        <w:rPr>
          <w:rFonts w:cstheme="minorHAnsi"/>
          <w:sz w:val="24"/>
          <w:szCs w:val="24"/>
        </w:rPr>
        <w:t>Part IX provides for codes of conduct and ethics that data controller should observe</w:t>
      </w:r>
      <w:r w:rsidR="008A25BF" w:rsidRPr="005A1CAD">
        <w:rPr>
          <w:rFonts w:cstheme="minorHAnsi"/>
          <w:sz w:val="24"/>
          <w:szCs w:val="24"/>
        </w:rPr>
        <w:t>.</w:t>
      </w:r>
      <w:r w:rsidR="00636850" w:rsidRPr="005A1CAD">
        <w:rPr>
          <w:rFonts w:cstheme="minorHAnsi"/>
          <w:sz w:val="24"/>
          <w:szCs w:val="24"/>
        </w:rPr>
        <w:t xml:space="preserve"> </w:t>
      </w:r>
    </w:p>
    <w:p w14:paraId="1DA7EF4A" w14:textId="77777777" w:rsidR="00B17A9B" w:rsidRPr="00B04AC6" w:rsidRDefault="00636850" w:rsidP="005A1CAD">
      <w:pPr>
        <w:pStyle w:val="ListParagraph"/>
        <w:numPr>
          <w:ilvl w:val="0"/>
          <w:numId w:val="7"/>
        </w:numPr>
        <w:jc w:val="both"/>
        <w:rPr>
          <w:rFonts w:cstheme="minorHAnsi"/>
          <w:iCs/>
          <w:sz w:val="24"/>
          <w:szCs w:val="24"/>
        </w:rPr>
      </w:pPr>
      <w:r w:rsidRPr="005A1CAD">
        <w:rPr>
          <w:rFonts w:cstheme="minorHAnsi"/>
          <w:sz w:val="24"/>
          <w:szCs w:val="24"/>
        </w:rPr>
        <w:t xml:space="preserve">Part X enables the </w:t>
      </w:r>
      <w:r w:rsidR="008A25BF" w:rsidRPr="005A1CAD">
        <w:rPr>
          <w:rFonts w:cstheme="minorHAnsi"/>
          <w:sz w:val="24"/>
          <w:szCs w:val="24"/>
        </w:rPr>
        <w:t>establishment and management of a whistl</w:t>
      </w:r>
      <w:r w:rsidR="00BA1C4B" w:rsidRPr="005A1CAD">
        <w:rPr>
          <w:rFonts w:cstheme="minorHAnsi"/>
          <w:sz w:val="24"/>
          <w:szCs w:val="24"/>
        </w:rPr>
        <w:t>e blower</w:t>
      </w:r>
      <w:r w:rsidRPr="005A1CAD">
        <w:rPr>
          <w:rFonts w:cstheme="minorHAnsi"/>
          <w:sz w:val="24"/>
          <w:szCs w:val="24"/>
        </w:rPr>
        <w:t xml:space="preserve"> system. </w:t>
      </w:r>
    </w:p>
    <w:p w14:paraId="4E939C29" w14:textId="77777777" w:rsidR="00B17A9B" w:rsidRPr="00B04AC6" w:rsidRDefault="00B83CA0" w:rsidP="005A1CAD">
      <w:pPr>
        <w:pStyle w:val="ListParagraph"/>
        <w:numPr>
          <w:ilvl w:val="0"/>
          <w:numId w:val="7"/>
        </w:numPr>
        <w:jc w:val="both"/>
        <w:rPr>
          <w:rFonts w:cstheme="minorHAnsi"/>
          <w:iCs/>
          <w:sz w:val="24"/>
          <w:szCs w:val="24"/>
        </w:rPr>
      </w:pPr>
      <w:r w:rsidRPr="005A1CAD">
        <w:rPr>
          <w:rFonts w:cstheme="minorHAnsi"/>
          <w:sz w:val="24"/>
          <w:szCs w:val="24"/>
        </w:rPr>
        <w:t xml:space="preserve">Part XI provides for making of regulations by the relevant Minister in consultation with the POTRAZ. This part sets out the offences and penalties. </w:t>
      </w:r>
    </w:p>
    <w:p w14:paraId="0FDAA62B" w14:textId="77777777" w:rsidR="00D85C56" w:rsidRPr="005A1CAD" w:rsidRDefault="00D85C56" w:rsidP="005A1CAD">
      <w:pPr>
        <w:pStyle w:val="ListParagraph"/>
        <w:numPr>
          <w:ilvl w:val="0"/>
          <w:numId w:val="7"/>
        </w:numPr>
        <w:jc w:val="both"/>
        <w:rPr>
          <w:rFonts w:cstheme="minorHAnsi"/>
          <w:iCs/>
          <w:sz w:val="24"/>
          <w:szCs w:val="24"/>
        </w:rPr>
      </w:pPr>
      <w:r w:rsidRPr="005A1CAD">
        <w:rPr>
          <w:rFonts w:cstheme="minorHAnsi"/>
          <w:iCs/>
          <w:sz w:val="24"/>
          <w:szCs w:val="24"/>
        </w:rPr>
        <w:lastRenderedPageBreak/>
        <w:t>Part XII</w:t>
      </w:r>
      <w:r w:rsidR="00B83CA0" w:rsidRPr="005A1CAD">
        <w:rPr>
          <w:rFonts w:cstheme="minorHAnsi"/>
          <w:iCs/>
          <w:sz w:val="24"/>
          <w:szCs w:val="24"/>
        </w:rPr>
        <w:t xml:space="preserve"> deals with amendments to the </w:t>
      </w:r>
      <w:r w:rsidRPr="005A1CAD">
        <w:rPr>
          <w:rFonts w:cstheme="minorHAnsi"/>
          <w:iCs/>
          <w:sz w:val="24"/>
          <w:szCs w:val="24"/>
        </w:rPr>
        <w:t>Criminal Law (Codification and reform)</w:t>
      </w:r>
      <w:r w:rsidR="00B83CA0" w:rsidRPr="005A1CAD">
        <w:rPr>
          <w:rFonts w:cstheme="minorHAnsi"/>
          <w:iCs/>
          <w:sz w:val="24"/>
          <w:szCs w:val="24"/>
        </w:rPr>
        <w:t xml:space="preserve"> by repealing </w:t>
      </w:r>
      <w:r w:rsidR="00B83CA0" w:rsidRPr="005A1CAD">
        <w:rPr>
          <w:rFonts w:cstheme="minorHAnsi"/>
          <w:sz w:val="24"/>
          <w:szCs w:val="24"/>
        </w:rPr>
        <w:t xml:space="preserve">section </w:t>
      </w:r>
      <w:r w:rsidR="00B83CA0" w:rsidRPr="005A1CAD">
        <w:rPr>
          <w:rFonts w:cstheme="minorHAnsi"/>
          <w:iCs/>
          <w:sz w:val="24"/>
          <w:szCs w:val="24"/>
        </w:rPr>
        <w:t xml:space="preserve">163 to 166. </w:t>
      </w:r>
    </w:p>
    <w:p w14:paraId="522567DB" w14:textId="77777777" w:rsidR="009A67B3" w:rsidRPr="00946E97" w:rsidRDefault="00D2412A" w:rsidP="00D439AE">
      <w:pPr>
        <w:pStyle w:val="Heading1"/>
        <w:jc w:val="both"/>
        <w:rPr>
          <w:rFonts w:asciiTheme="minorHAnsi" w:hAnsiTheme="minorHAnsi" w:cstheme="minorHAnsi"/>
          <w:szCs w:val="24"/>
        </w:rPr>
      </w:pPr>
      <w:bookmarkStart w:id="4" w:name="_Toc43374606"/>
      <w:r w:rsidRPr="00946E97">
        <w:rPr>
          <w:rFonts w:asciiTheme="minorHAnsi" w:hAnsiTheme="minorHAnsi" w:cstheme="minorHAnsi"/>
          <w:szCs w:val="24"/>
        </w:rPr>
        <w:t>ANALYSIS OF SECTIONS</w:t>
      </w:r>
      <w:bookmarkEnd w:id="4"/>
    </w:p>
    <w:p w14:paraId="000E2B28" w14:textId="77777777" w:rsidR="003007AF" w:rsidRPr="00946E97" w:rsidRDefault="009A67B3" w:rsidP="00D439AE">
      <w:pPr>
        <w:pStyle w:val="Heading2"/>
        <w:jc w:val="both"/>
        <w:rPr>
          <w:rFonts w:cstheme="minorHAnsi"/>
          <w:szCs w:val="24"/>
        </w:rPr>
      </w:pPr>
      <w:bookmarkStart w:id="5" w:name="_Toc43374607"/>
      <w:r w:rsidRPr="00946E97">
        <w:rPr>
          <w:rFonts w:cstheme="minorHAnsi"/>
          <w:szCs w:val="24"/>
        </w:rPr>
        <w:t>Part I</w:t>
      </w:r>
      <w:bookmarkEnd w:id="5"/>
    </w:p>
    <w:p w14:paraId="3A9A54E7" w14:textId="77777777" w:rsidR="003007AF" w:rsidRPr="005A1CAD" w:rsidRDefault="003007AF" w:rsidP="005A1CAD">
      <w:pPr>
        <w:pStyle w:val="ListParagraph"/>
        <w:numPr>
          <w:ilvl w:val="0"/>
          <w:numId w:val="8"/>
        </w:numPr>
        <w:jc w:val="both"/>
        <w:rPr>
          <w:rFonts w:cstheme="minorHAnsi"/>
          <w:b/>
          <w:i/>
          <w:iCs/>
          <w:sz w:val="24"/>
          <w:szCs w:val="24"/>
        </w:rPr>
      </w:pPr>
      <w:r w:rsidRPr="005A1CAD">
        <w:rPr>
          <w:rFonts w:cstheme="minorHAnsi"/>
          <w:b/>
          <w:i/>
          <w:iCs/>
          <w:sz w:val="24"/>
          <w:szCs w:val="24"/>
        </w:rPr>
        <w:t>Code of Conduct</w:t>
      </w:r>
    </w:p>
    <w:p w14:paraId="4DB804AD" w14:textId="77777777" w:rsidR="004723ED" w:rsidRPr="00946E97" w:rsidRDefault="004723ED" w:rsidP="00D439AE">
      <w:pPr>
        <w:jc w:val="both"/>
        <w:rPr>
          <w:rFonts w:cstheme="minorHAnsi"/>
          <w:iCs/>
          <w:sz w:val="24"/>
          <w:szCs w:val="24"/>
        </w:rPr>
      </w:pPr>
      <w:r w:rsidRPr="00946E97">
        <w:rPr>
          <w:rFonts w:cstheme="minorHAnsi"/>
          <w:b/>
          <w:i/>
          <w:iCs/>
          <w:sz w:val="24"/>
          <w:szCs w:val="24"/>
        </w:rPr>
        <w:t>Issue</w:t>
      </w:r>
      <w:r w:rsidR="003C51AB" w:rsidRPr="00946E97">
        <w:rPr>
          <w:rFonts w:cstheme="minorHAnsi"/>
          <w:iCs/>
          <w:sz w:val="24"/>
          <w:szCs w:val="24"/>
        </w:rPr>
        <w:t xml:space="preserve">: </w:t>
      </w:r>
      <w:r w:rsidR="00B17A9B">
        <w:rPr>
          <w:rFonts w:cstheme="minorHAnsi"/>
          <w:iCs/>
          <w:sz w:val="24"/>
          <w:szCs w:val="24"/>
        </w:rPr>
        <w:t xml:space="preserve">The </w:t>
      </w:r>
      <w:r w:rsidR="003C51AB" w:rsidRPr="00946E97">
        <w:rPr>
          <w:rFonts w:cstheme="minorHAnsi"/>
          <w:iCs/>
          <w:sz w:val="24"/>
          <w:szCs w:val="24"/>
        </w:rPr>
        <w:t xml:space="preserve">code of conduct </w:t>
      </w:r>
      <w:r w:rsidR="00B17A9B">
        <w:rPr>
          <w:rFonts w:cstheme="minorHAnsi"/>
          <w:iCs/>
          <w:sz w:val="24"/>
          <w:szCs w:val="24"/>
        </w:rPr>
        <w:t xml:space="preserve">will have </w:t>
      </w:r>
      <w:r w:rsidR="00E46AB9">
        <w:rPr>
          <w:rFonts w:cstheme="minorHAnsi"/>
          <w:iCs/>
          <w:sz w:val="24"/>
          <w:szCs w:val="24"/>
        </w:rPr>
        <w:t xml:space="preserve">to </w:t>
      </w:r>
      <w:r w:rsidR="00E46AB9" w:rsidRPr="00946E97">
        <w:rPr>
          <w:rFonts w:cstheme="minorHAnsi"/>
          <w:iCs/>
          <w:sz w:val="24"/>
          <w:szCs w:val="24"/>
        </w:rPr>
        <w:t>be</w:t>
      </w:r>
      <w:r w:rsidR="003C51AB" w:rsidRPr="00946E97">
        <w:rPr>
          <w:rFonts w:cstheme="minorHAnsi"/>
          <w:iCs/>
          <w:sz w:val="24"/>
          <w:szCs w:val="24"/>
        </w:rPr>
        <w:t xml:space="preserve"> approved by POTRAZ as the </w:t>
      </w:r>
      <w:r w:rsidR="00AA534F">
        <w:rPr>
          <w:rFonts w:cstheme="minorHAnsi"/>
          <w:iCs/>
          <w:sz w:val="24"/>
          <w:szCs w:val="24"/>
        </w:rPr>
        <w:t>D</w:t>
      </w:r>
      <w:r w:rsidR="00CD50FE">
        <w:rPr>
          <w:rFonts w:cstheme="minorHAnsi"/>
          <w:iCs/>
          <w:sz w:val="24"/>
          <w:szCs w:val="24"/>
        </w:rPr>
        <w:t xml:space="preserve">ata Protection </w:t>
      </w:r>
      <w:r w:rsidR="003C51AB" w:rsidRPr="00946E97">
        <w:rPr>
          <w:rFonts w:cstheme="minorHAnsi"/>
          <w:iCs/>
          <w:sz w:val="24"/>
          <w:szCs w:val="24"/>
        </w:rPr>
        <w:t>Auth</w:t>
      </w:r>
      <w:r w:rsidR="00AA534F">
        <w:rPr>
          <w:rFonts w:cstheme="minorHAnsi"/>
          <w:iCs/>
          <w:sz w:val="24"/>
          <w:szCs w:val="24"/>
        </w:rPr>
        <w:t>ority</w:t>
      </w:r>
      <w:r w:rsidR="000A4B3A" w:rsidRPr="00946E97">
        <w:rPr>
          <w:rFonts w:cstheme="minorHAnsi"/>
          <w:iCs/>
          <w:sz w:val="24"/>
          <w:szCs w:val="24"/>
        </w:rPr>
        <w:t xml:space="preserve">. The code of conduct </w:t>
      </w:r>
      <w:r w:rsidR="001E531A" w:rsidRPr="00946E97">
        <w:rPr>
          <w:rFonts w:cstheme="minorHAnsi"/>
          <w:iCs/>
          <w:sz w:val="24"/>
          <w:szCs w:val="24"/>
        </w:rPr>
        <w:t xml:space="preserve">is </w:t>
      </w:r>
      <w:r w:rsidR="00CD50FE">
        <w:rPr>
          <w:rFonts w:cstheme="minorHAnsi"/>
          <w:iCs/>
          <w:sz w:val="24"/>
          <w:szCs w:val="24"/>
        </w:rPr>
        <w:t xml:space="preserve">meant to </w:t>
      </w:r>
      <w:r w:rsidR="001E531A" w:rsidRPr="00946E97">
        <w:rPr>
          <w:rFonts w:cstheme="minorHAnsi"/>
          <w:iCs/>
          <w:sz w:val="24"/>
          <w:szCs w:val="24"/>
        </w:rPr>
        <w:t>“</w:t>
      </w:r>
      <w:r w:rsidR="003C51AB" w:rsidRPr="00946E97">
        <w:rPr>
          <w:rFonts w:cstheme="minorHAnsi"/>
          <w:iCs/>
          <w:sz w:val="24"/>
          <w:szCs w:val="24"/>
        </w:rPr>
        <w:t>institute the rightful use of IT resources, the Internet, and the electronic communications of the structure concerned”</w:t>
      </w:r>
    </w:p>
    <w:p w14:paraId="27983166" w14:textId="77777777" w:rsidR="00CD50FE" w:rsidRDefault="004723ED" w:rsidP="00D439AE">
      <w:pPr>
        <w:jc w:val="both"/>
        <w:rPr>
          <w:rFonts w:cstheme="minorHAnsi"/>
          <w:iCs/>
          <w:sz w:val="24"/>
          <w:szCs w:val="24"/>
        </w:rPr>
      </w:pPr>
      <w:r w:rsidRPr="00946E97">
        <w:rPr>
          <w:rFonts w:cstheme="minorHAnsi"/>
          <w:b/>
          <w:i/>
          <w:iCs/>
          <w:sz w:val="24"/>
          <w:szCs w:val="24"/>
        </w:rPr>
        <w:t>Discussion</w:t>
      </w:r>
      <w:r w:rsidR="003C51AB" w:rsidRPr="00946E97">
        <w:rPr>
          <w:rFonts w:cstheme="minorHAnsi"/>
          <w:i/>
          <w:iCs/>
          <w:sz w:val="24"/>
          <w:szCs w:val="24"/>
        </w:rPr>
        <w:t xml:space="preserve">: </w:t>
      </w:r>
      <w:r w:rsidR="00CD50FE">
        <w:rPr>
          <w:rFonts w:cstheme="minorHAnsi"/>
          <w:iCs/>
          <w:sz w:val="24"/>
          <w:szCs w:val="24"/>
        </w:rPr>
        <w:t>C</w:t>
      </w:r>
      <w:r w:rsidR="003C51AB" w:rsidRPr="00946E97">
        <w:rPr>
          <w:rFonts w:cstheme="minorHAnsi"/>
          <w:iCs/>
          <w:sz w:val="24"/>
          <w:szCs w:val="24"/>
        </w:rPr>
        <w:t>ode</w:t>
      </w:r>
      <w:r w:rsidR="00AA534F">
        <w:rPr>
          <w:rFonts w:cstheme="minorHAnsi"/>
          <w:iCs/>
          <w:sz w:val="24"/>
          <w:szCs w:val="24"/>
        </w:rPr>
        <w:t>s</w:t>
      </w:r>
      <w:r w:rsidR="003C51AB" w:rsidRPr="00946E97">
        <w:rPr>
          <w:rFonts w:cstheme="minorHAnsi"/>
          <w:iCs/>
          <w:sz w:val="24"/>
          <w:szCs w:val="24"/>
        </w:rPr>
        <w:t xml:space="preserve"> of conduct </w:t>
      </w:r>
      <w:r w:rsidR="00AA534F">
        <w:rPr>
          <w:rFonts w:cstheme="minorHAnsi"/>
          <w:iCs/>
          <w:sz w:val="24"/>
          <w:szCs w:val="24"/>
        </w:rPr>
        <w:t xml:space="preserve">are </w:t>
      </w:r>
      <w:r w:rsidR="003C51AB" w:rsidRPr="00946E97">
        <w:rPr>
          <w:rFonts w:cstheme="minorHAnsi"/>
          <w:iCs/>
          <w:sz w:val="24"/>
          <w:szCs w:val="24"/>
        </w:rPr>
        <w:t xml:space="preserve">provided under s30 of the Bill. </w:t>
      </w:r>
      <w:r w:rsidR="00AA534F">
        <w:rPr>
          <w:rFonts w:cstheme="minorHAnsi"/>
          <w:iCs/>
          <w:sz w:val="24"/>
          <w:szCs w:val="24"/>
        </w:rPr>
        <w:t xml:space="preserve">The </w:t>
      </w:r>
      <w:r w:rsidR="00CD50FE">
        <w:rPr>
          <w:rFonts w:cstheme="minorHAnsi"/>
          <w:iCs/>
          <w:sz w:val="24"/>
          <w:szCs w:val="24"/>
        </w:rPr>
        <w:t>C</w:t>
      </w:r>
      <w:r w:rsidR="003C51AB" w:rsidRPr="00946E97">
        <w:rPr>
          <w:rFonts w:cstheme="minorHAnsi"/>
          <w:iCs/>
          <w:sz w:val="24"/>
          <w:szCs w:val="24"/>
        </w:rPr>
        <w:t>ode</w:t>
      </w:r>
      <w:r w:rsidR="00CD50FE">
        <w:rPr>
          <w:rFonts w:cstheme="minorHAnsi"/>
          <w:iCs/>
          <w:sz w:val="24"/>
          <w:szCs w:val="24"/>
        </w:rPr>
        <w:t>s</w:t>
      </w:r>
      <w:r w:rsidR="003C51AB" w:rsidRPr="00946E97">
        <w:rPr>
          <w:rFonts w:cstheme="minorHAnsi"/>
          <w:iCs/>
          <w:sz w:val="24"/>
          <w:szCs w:val="24"/>
        </w:rPr>
        <w:t xml:space="preserve"> of conduct </w:t>
      </w:r>
      <w:r w:rsidR="001E531A" w:rsidRPr="00946E97">
        <w:rPr>
          <w:rFonts w:cstheme="minorHAnsi"/>
          <w:iCs/>
          <w:sz w:val="24"/>
          <w:szCs w:val="24"/>
        </w:rPr>
        <w:t>appear</w:t>
      </w:r>
      <w:r w:rsidR="003C51AB" w:rsidRPr="00946E97">
        <w:rPr>
          <w:rFonts w:cstheme="minorHAnsi"/>
          <w:iCs/>
          <w:sz w:val="24"/>
          <w:szCs w:val="24"/>
        </w:rPr>
        <w:t xml:space="preserve"> to be mandatory hence</w:t>
      </w:r>
      <w:r w:rsidR="001E531A" w:rsidRPr="00946E97">
        <w:rPr>
          <w:rFonts w:cstheme="minorHAnsi"/>
          <w:iCs/>
          <w:sz w:val="24"/>
          <w:szCs w:val="24"/>
        </w:rPr>
        <w:t xml:space="preserve"> their approval by the Authority. This is largely common practice for codes of conduct of this nature. It will be appropriate for industry and associations to come up with codes of conduct </w:t>
      </w:r>
      <w:r w:rsidR="00CD50FE">
        <w:rPr>
          <w:rFonts w:cstheme="minorHAnsi"/>
          <w:iCs/>
          <w:sz w:val="24"/>
          <w:szCs w:val="24"/>
        </w:rPr>
        <w:t xml:space="preserve">as </w:t>
      </w:r>
      <w:r w:rsidR="001E531A" w:rsidRPr="00946E97">
        <w:rPr>
          <w:rFonts w:cstheme="minorHAnsi"/>
          <w:iCs/>
          <w:sz w:val="24"/>
          <w:szCs w:val="24"/>
        </w:rPr>
        <w:t>per s 30</w:t>
      </w:r>
      <w:r w:rsidR="00AA534F">
        <w:rPr>
          <w:rFonts w:cstheme="minorHAnsi"/>
          <w:iCs/>
          <w:sz w:val="24"/>
          <w:szCs w:val="24"/>
        </w:rPr>
        <w:t xml:space="preserve"> </w:t>
      </w:r>
      <w:r w:rsidR="001E531A" w:rsidRPr="00946E97">
        <w:rPr>
          <w:rFonts w:cstheme="minorHAnsi"/>
          <w:iCs/>
          <w:sz w:val="24"/>
          <w:szCs w:val="24"/>
        </w:rPr>
        <w:t xml:space="preserve">(2). </w:t>
      </w:r>
    </w:p>
    <w:p w14:paraId="14ABD3A6" w14:textId="77777777" w:rsidR="004723ED" w:rsidRPr="00946E97" w:rsidRDefault="001E531A" w:rsidP="00D439AE">
      <w:pPr>
        <w:jc w:val="both"/>
        <w:rPr>
          <w:rFonts w:cstheme="minorHAnsi"/>
          <w:iCs/>
          <w:sz w:val="24"/>
          <w:szCs w:val="24"/>
        </w:rPr>
      </w:pPr>
      <w:r w:rsidRPr="00946E97">
        <w:rPr>
          <w:rFonts w:cstheme="minorHAnsi"/>
          <w:iCs/>
          <w:sz w:val="24"/>
          <w:szCs w:val="24"/>
        </w:rPr>
        <w:t>The definition however seems to exten</w:t>
      </w:r>
      <w:r w:rsidR="00CD50FE">
        <w:rPr>
          <w:rFonts w:cstheme="minorHAnsi"/>
          <w:iCs/>
          <w:sz w:val="24"/>
          <w:szCs w:val="24"/>
        </w:rPr>
        <w:t>d</w:t>
      </w:r>
      <w:r w:rsidRPr="00946E97">
        <w:rPr>
          <w:rFonts w:cstheme="minorHAnsi"/>
          <w:iCs/>
          <w:sz w:val="24"/>
          <w:szCs w:val="24"/>
        </w:rPr>
        <w:t xml:space="preserve"> to </w:t>
      </w:r>
      <w:r w:rsidRPr="00946E97">
        <w:rPr>
          <w:rFonts w:cstheme="minorHAnsi"/>
          <w:b/>
          <w:iCs/>
          <w:sz w:val="24"/>
          <w:szCs w:val="24"/>
        </w:rPr>
        <w:t>IT resources</w:t>
      </w:r>
      <w:r w:rsidRPr="00946E97">
        <w:rPr>
          <w:rFonts w:cstheme="minorHAnsi"/>
          <w:iCs/>
          <w:sz w:val="24"/>
          <w:szCs w:val="24"/>
        </w:rPr>
        <w:t xml:space="preserve">, and </w:t>
      </w:r>
      <w:r w:rsidRPr="00946E97">
        <w:rPr>
          <w:rFonts w:cstheme="minorHAnsi"/>
          <w:b/>
          <w:iCs/>
          <w:sz w:val="24"/>
          <w:szCs w:val="24"/>
        </w:rPr>
        <w:t>Internet</w:t>
      </w:r>
      <w:r w:rsidRPr="00946E97">
        <w:rPr>
          <w:rFonts w:cstheme="minorHAnsi"/>
          <w:iCs/>
          <w:sz w:val="24"/>
          <w:szCs w:val="24"/>
        </w:rPr>
        <w:t xml:space="preserve"> for the data controller. IT resources is extremely wide</w:t>
      </w:r>
      <w:r w:rsidR="00DA5F9F" w:rsidRPr="00946E97">
        <w:rPr>
          <w:rFonts w:cstheme="minorHAnsi"/>
          <w:iCs/>
          <w:sz w:val="24"/>
          <w:szCs w:val="24"/>
        </w:rPr>
        <w:t xml:space="preserve"> as</w:t>
      </w:r>
      <w:r w:rsidR="00ED48B5">
        <w:rPr>
          <w:rFonts w:cstheme="minorHAnsi"/>
          <w:iCs/>
          <w:sz w:val="24"/>
          <w:szCs w:val="24"/>
        </w:rPr>
        <w:t xml:space="preserve"> a definition and it might include </w:t>
      </w:r>
      <w:r w:rsidR="00DA5F9F" w:rsidRPr="00946E97">
        <w:rPr>
          <w:rFonts w:cstheme="minorHAnsi"/>
          <w:iCs/>
          <w:sz w:val="24"/>
          <w:szCs w:val="24"/>
        </w:rPr>
        <w:t>equipment, networks, hardware, software, technical knowledge, expertise, information and computer systems in the controller’s control or possession</w:t>
      </w:r>
      <w:r w:rsidRPr="00946E97">
        <w:rPr>
          <w:rFonts w:cstheme="minorHAnsi"/>
          <w:iCs/>
          <w:sz w:val="24"/>
          <w:szCs w:val="24"/>
        </w:rPr>
        <w:t xml:space="preserve">. This definition </w:t>
      </w:r>
      <w:r w:rsidR="00AA534F">
        <w:rPr>
          <w:rFonts w:cstheme="minorHAnsi"/>
          <w:iCs/>
          <w:sz w:val="24"/>
          <w:szCs w:val="24"/>
        </w:rPr>
        <w:t>does not</w:t>
      </w:r>
      <w:r w:rsidRPr="00946E97">
        <w:rPr>
          <w:rFonts w:cstheme="minorHAnsi"/>
          <w:iCs/>
          <w:sz w:val="24"/>
          <w:szCs w:val="24"/>
        </w:rPr>
        <w:t xml:space="preserve"> address the fact that data processing is </w:t>
      </w:r>
      <w:r w:rsidR="00AA534F">
        <w:rPr>
          <w:rFonts w:cstheme="minorHAnsi"/>
          <w:iCs/>
          <w:sz w:val="24"/>
          <w:szCs w:val="24"/>
        </w:rPr>
        <w:t xml:space="preserve">manual, and electronic </w:t>
      </w:r>
      <w:r w:rsidRPr="00946E97">
        <w:rPr>
          <w:rFonts w:cstheme="minorHAnsi"/>
          <w:iCs/>
          <w:sz w:val="24"/>
          <w:szCs w:val="24"/>
        </w:rPr>
        <w:t>automated or electronic.</w:t>
      </w:r>
    </w:p>
    <w:p w14:paraId="1EE3469F" w14:textId="77777777" w:rsidR="004723ED" w:rsidRPr="00946E97" w:rsidRDefault="004723ED" w:rsidP="00D439AE">
      <w:pPr>
        <w:jc w:val="both"/>
        <w:rPr>
          <w:rFonts w:cstheme="minorHAnsi"/>
          <w:iCs/>
          <w:sz w:val="24"/>
          <w:szCs w:val="24"/>
        </w:rPr>
      </w:pPr>
      <w:r w:rsidRPr="00946E97">
        <w:rPr>
          <w:rFonts w:cstheme="minorHAnsi"/>
          <w:b/>
          <w:i/>
          <w:iCs/>
          <w:sz w:val="24"/>
          <w:szCs w:val="24"/>
        </w:rPr>
        <w:t>Recommendations</w:t>
      </w:r>
      <w:r w:rsidR="006D302A" w:rsidRPr="00946E97">
        <w:rPr>
          <w:rFonts w:cstheme="minorHAnsi"/>
          <w:b/>
          <w:iCs/>
          <w:sz w:val="24"/>
          <w:szCs w:val="24"/>
        </w:rPr>
        <w:t xml:space="preserve">: </w:t>
      </w:r>
      <w:r w:rsidR="00CD50FE" w:rsidRPr="005A1CAD">
        <w:rPr>
          <w:rFonts w:cstheme="minorHAnsi"/>
          <w:iCs/>
          <w:sz w:val="24"/>
          <w:szCs w:val="24"/>
        </w:rPr>
        <w:t xml:space="preserve">The lawmakers should </w:t>
      </w:r>
      <w:r w:rsidR="006D302A" w:rsidRPr="00946E97">
        <w:rPr>
          <w:rFonts w:cstheme="minorHAnsi"/>
          <w:iCs/>
          <w:sz w:val="24"/>
          <w:szCs w:val="24"/>
        </w:rPr>
        <w:t xml:space="preserve">consider removing the IT resources and Internet on the definition of codes of conduct. </w:t>
      </w:r>
      <w:r w:rsidR="00160A66" w:rsidRPr="00946E97">
        <w:rPr>
          <w:rFonts w:cstheme="minorHAnsi"/>
          <w:iCs/>
          <w:sz w:val="24"/>
          <w:szCs w:val="24"/>
        </w:rPr>
        <w:t xml:space="preserve">In the alternative the definition should confine itself to IT processes which means any processes related to the data controller </w:t>
      </w:r>
      <w:r w:rsidR="00A2003F">
        <w:rPr>
          <w:rFonts w:cstheme="minorHAnsi"/>
          <w:iCs/>
          <w:sz w:val="24"/>
          <w:szCs w:val="24"/>
        </w:rPr>
        <w:t xml:space="preserve">or processor </w:t>
      </w:r>
      <w:r w:rsidR="00CD50FE">
        <w:rPr>
          <w:rFonts w:cstheme="minorHAnsi"/>
          <w:iCs/>
          <w:sz w:val="24"/>
          <w:szCs w:val="24"/>
        </w:rPr>
        <w:t xml:space="preserve">for </w:t>
      </w:r>
      <w:r w:rsidR="00160A66" w:rsidRPr="00946E97">
        <w:rPr>
          <w:rFonts w:cstheme="minorHAnsi"/>
          <w:iCs/>
          <w:sz w:val="24"/>
          <w:szCs w:val="24"/>
        </w:rPr>
        <w:t xml:space="preserve">purposes of gathering </w:t>
      </w:r>
      <w:r w:rsidR="00CD50FE">
        <w:rPr>
          <w:rFonts w:cstheme="minorHAnsi"/>
          <w:iCs/>
          <w:sz w:val="24"/>
          <w:szCs w:val="24"/>
        </w:rPr>
        <w:t xml:space="preserve">or </w:t>
      </w:r>
      <w:r w:rsidR="00160A66" w:rsidRPr="00946E97">
        <w:rPr>
          <w:rFonts w:cstheme="minorHAnsi"/>
          <w:iCs/>
          <w:sz w:val="24"/>
          <w:szCs w:val="24"/>
        </w:rPr>
        <w:t>collecting data</w:t>
      </w:r>
      <w:r w:rsidR="00A2003F">
        <w:rPr>
          <w:rFonts w:cstheme="minorHAnsi"/>
          <w:iCs/>
          <w:sz w:val="24"/>
          <w:szCs w:val="24"/>
        </w:rPr>
        <w:t xml:space="preserve"> and processing data</w:t>
      </w:r>
      <w:r w:rsidR="00160A66" w:rsidRPr="00946E97">
        <w:rPr>
          <w:rFonts w:cstheme="minorHAnsi"/>
          <w:iCs/>
          <w:sz w:val="24"/>
          <w:szCs w:val="24"/>
        </w:rPr>
        <w:t>.</w:t>
      </w:r>
      <w:r w:rsidR="00CA111C" w:rsidRPr="00946E97">
        <w:rPr>
          <w:rFonts w:cstheme="minorHAnsi"/>
          <w:iCs/>
          <w:sz w:val="24"/>
          <w:szCs w:val="24"/>
        </w:rPr>
        <w:t xml:space="preserve"> </w:t>
      </w:r>
    </w:p>
    <w:p w14:paraId="101907E6" w14:textId="77777777" w:rsidR="003007AF" w:rsidRPr="005A1CAD" w:rsidRDefault="003007AF" w:rsidP="005A1CAD">
      <w:pPr>
        <w:pStyle w:val="ListParagraph"/>
        <w:numPr>
          <w:ilvl w:val="0"/>
          <w:numId w:val="8"/>
        </w:numPr>
        <w:jc w:val="both"/>
        <w:rPr>
          <w:rFonts w:cstheme="minorHAnsi"/>
          <w:b/>
          <w:i/>
          <w:iCs/>
          <w:sz w:val="24"/>
          <w:szCs w:val="24"/>
        </w:rPr>
      </w:pPr>
      <w:r w:rsidRPr="005A1CAD">
        <w:rPr>
          <w:rFonts w:cstheme="minorHAnsi"/>
          <w:b/>
          <w:i/>
          <w:iCs/>
          <w:sz w:val="24"/>
          <w:szCs w:val="24"/>
        </w:rPr>
        <w:t>Consent</w:t>
      </w:r>
    </w:p>
    <w:p w14:paraId="2B50B6A2" w14:textId="77777777" w:rsidR="00361B2A" w:rsidRPr="00946E97" w:rsidRDefault="00361B2A" w:rsidP="00D439AE">
      <w:pPr>
        <w:jc w:val="both"/>
        <w:rPr>
          <w:rFonts w:cstheme="minorHAnsi"/>
          <w:iCs/>
          <w:sz w:val="24"/>
          <w:szCs w:val="24"/>
        </w:rPr>
      </w:pPr>
      <w:r w:rsidRPr="00946E97">
        <w:rPr>
          <w:rFonts w:cstheme="minorHAnsi"/>
          <w:b/>
          <w:i/>
          <w:iCs/>
          <w:sz w:val="24"/>
          <w:szCs w:val="24"/>
        </w:rPr>
        <w:t>Issue</w:t>
      </w:r>
      <w:r w:rsidRPr="00946E97">
        <w:rPr>
          <w:rFonts w:cstheme="minorHAnsi"/>
          <w:iCs/>
          <w:sz w:val="24"/>
          <w:szCs w:val="24"/>
        </w:rPr>
        <w:t xml:space="preserve">: </w:t>
      </w:r>
      <w:r w:rsidR="00D2412A">
        <w:rPr>
          <w:rFonts w:cstheme="minorHAnsi"/>
          <w:iCs/>
          <w:sz w:val="24"/>
          <w:szCs w:val="24"/>
        </w:rPr>
        <w:t>C</w:t>
      </w:r>
      <w:r w:rsidRPr="00946E97">
        <w:rPr>
          <w:rFonts w:cstheme="minorHAnsi"/>
          <w:iCs/>
          <w:sz w:val="24"/>
          <w:szCs w:val="24"/>
        </w:rPr>
        <w:t xml:space="preserve">onsent </w:t>
      </w:r>
      <w:r w:rsidR="006E042D">
        <w:rPr>
          <w:rFonts w:cstheme="minorHAnsi"/>
          <w:iCs/>
          <w:sz w:val="24"/>
          <w:szCs w:val="24"/>
        </w:rPr>
        <w:t>is essential to processing</w:t>
      </w:r>
      <w:r w:rsidRPr="00946E97">
        <w:rPr>
          <w:rFonts w:cstheme="minorHAnsi"/>
          <w:iCs/>
          <w:sz w:val="24"/>
          <w:szCs w:val="24"/>
        </w:rPr>
        <w:t xml:space="preserve"> of personal and sensitive data. </w:t>
      </w:r>
    </w:p>
    <w:p w14:paraId="527B218B" w14:textId="77777777" w:rsidR="00D2412A" w:rsidRDefault="00361B2A" w:rsidP="00D439AE">
      <w:pPr>
        <w:jc w:val="both"/>
        <w:rPr>
          <w:rFonts w:cstheme="minorHAnsi"/>
          <w:iCs/>
          <w:sz w:val="24"/>
          <w:szCs w:val="24"/>
        </w:rPr>
      </w:pPr>
      <w:r w:rsidRPr="00946E97">
        <w:rPr>
          <w:rFonts w:cstheme="minorHAnsi"/>
          <w:b/>
          <w:i/>
          <w:iCs/>
          <w:sz w:val="24"/>
          <w:szCs w:val="24"/>
        </w:rPr>
        <w:t>Discussion</w:t>
      </w:r>
      <w:r w:rsidRPr="00946E97">
        <w:rPr>
          <w:rFonts w:cstheme="minorHAnsi"/>
          <w:iCs/>
          <w:sz w:val="24"/>
          <w:szCs w:val="24"/>
        </w:rPr>
        <w:t xml:space="preserve">: </w:t>
      </w:r>
      <w:r w:rsidR="00D2412A">
        <w:rPr>
          <w:rFonts w:cstheme="minorHAnsi"/>
          <w:iCs/>
          <w:sz w:val="24"/>
          <w:szCs w:val="24"/>
        </w:rPr>
        <w:t>T</w:t>
      </w:r>
      <w:r w:rsidRPr="00946E97">
        <w:rPr>
          <w:rFonts w:cstheme="minorHAnsi"/>
          <w:iCs/>
          <w:sz w:val="24"/>
          <w:szCs w:val="24"/>
        </w:rPr>
        <w:t>his definiti</w:t>
      </w:r>
      <w:r w:rsidR="00E835FE">
        <w:rPr>
          <w:rFonts w:cstheme="minorHAnsi"/>
          <w:iCs/>
          <w:sz w:val="24"/>
          <w:szCs w:val="24"/>
        </w:rPr>
        <w:t xml:space="preserve">on is critical as it enables and </w:t>
      </w:r>
      <w:r w:rsidRPr="00946E97">
        <w:rPr>
          <w:rFonts w:cstheme="minorHAnsi"/>
          <w:iCs/>
          <w:sz w:val="24"/>
          <w:szCs w:val="24"/>
        </w:rPr>
        <w:t>establish</w:t>
      </w:r>
      <w:r w:rsidR="00E835FE">
        <w:rPr>
          <w:rFonts w:cstheme="minorHAnsi"/>
          <w:iCs/>
          <w:sz w:val="24"/>
          <w:szCs w:val="24"/>
        </w:rPr>
        <w:t xml:space="preserve">es whether </w:t>
      </w:r>
      <w:r w:rsidRPr="00946E97">
        <w:rPr>
          <w:rFonts w:cstheme="minorHAnsi"/>
          <w:iCs/>
          <w:sz w:val="24"/>
          <w:szCs w:val="24"/>
        </w:rPr>
        <w:t xml:space="preserve">data </w:t>
      </w:r>
      <w:r w:rsidR="00D2412A">
        <w:rPr>
          <w:rFonts w:cstheme="minorHAnsi"/>
          <w:iCs/>
          <w:sz w:val="24"/>
          <w:szCs w:val="24"/>
        </w:rPr>
        <w:t xml:space="preserve">is </w:t>
      </w:r>
      <w:r w:rsidRPr="00946E97">
        <w:rPr>
          <w:rFonts w:cstheme="minorHAnsi"/>
          <w:iCs/>
          <w:sz w:val="24"/>
          <w:szCs w:val="24"/>
        </w:rPr>
        <w:t xml:space="preserve">being processed lawfully or otherwise. </w:t>
      </w:r>
      <w:r w:rsidR="00D2412A">
        <w:rPr>
          <w:rFonts w:cstheme="minorHAnsi"/>
          <w:iCs/>
          <w:sz w:val="24"/>
          <w:szCs w:val="24"/>
        </w:rPr>
        <w:t xml:space="preserve">The current definition of consent is not sufficient. </w:t>
      </w:r>
      <w:r w:rsidR="003D123A" w:rsidRPr="00946E97">
        <w:rPr>
          <w:rFonts w:cstheme="minorHAnsi"/>
          <w:iCs/>
          <w:sz w:val="24"/>
          <w:szCs w:val="24"/>
        </w:rPr>
        <w:t xml:space="preserve">The definition </w:t>
      </w:r>
      <w:r w:rsidR="008E65D9">
        <w:rPr>
          <w:rFonts w:cstheme="minorHAnsi"/>
          <w:iCs/>
          <w:sz w:val="24"/>
          <w:szCs w:val="24"/>
        </w:rPr>
        <w:t xml:space="preserve">must be </w:t>
      </w:r>
      <w:r w:rsidR="003D123A" w:rsidRPr="00946E97">
        <w:rPr>
          <w:rFonts w:cstheme="minorHAnsi"/>
          <w:iCs/>
          <w:sz w:val="24"/>
          <w:szCs w:val="24"/>
        </w:rPr>
        <w:t xml:space="preserve">expanded in regulations or codes of conduct. </w:t>
      </w:r>
      <w:r w:rsidR="00E835FE">
        <w:rPr>
          <w:rFonts w:cstheme="minorHAnsi"/>
          <w:iCs/>
          <w:sz w:val="24"/>
          <w:szCs w:val="24"/>
        </w:rPr>
        <w:t xml:space="preserve">Consent </w:t>
      </w:r>
      <w:r w:rsidR="008E65D9">
        <w:rPr>
          <w:rFonts w:cstheme="minorHAnsi"/>
          <w:iCs/>
          <w:sz w:val="24"/>
          <w:szCs w:val="24"/>
        </w:rPr>
        <w:t xml:space="preserve">must </w:t>
      </w:r>
      <w:r w:rsidR="00E835FE" w:rsidRPr="00946E97">
        <w:rPr>
          <w:rFonts w:cstheme="minorHAnsi"/>
          <w:iCs/>
          <w:sz w:val="24"/>
          <w:szCs w:val="24"/>
        </w:rPr>
        <w:t>be clear and unequivocal. It shows agreement, acceptance, concurrence or granting of authority to a processor to process data</w:t>
      </w:r>
      <w:r w:rsidR="00D2412A">
        <w:rPr>
          <w:rFonts w:cstheme="minorHAnsi"/>
          <w:iCs/>
          <w:sz w:val="24"/>
          <w:szCs w:val="24"/>
        </w:rPr>
        <w:t>. Reference can be made to</w:t>
      </w:r>
      <w:r w:rsidR="00E835FE" w:rsidRPr="00946E97">
        <w:rPr>
          <w:rFonts w:cstheme="minorHAnsi"/>
          <w:iCs/>
          <w:sz w:val="24"/>
          <w:szCs w:val="24"/>
        </w:rPr>
        <w:t xml:space="preserve"> Kenya and South Africa definitions.</w:t>
      </w:r>
      <w:r w:rsidR="00E835FE" w:rsidRPr="00946E97">
        <w:rPr>
          <w:rStyle w:val="FootnoteReference"/>
          <w:rFonts w:cstheme="minorHAnsi"/>
          <w:iCs/>
          <w:sz w:val="24"/>
          <w:szCs w:val="24"/>
        </w:rPr>
        <w:footnoteReference w:id="3"/>
      </w:r>
      <w:r w:rsidR="00E835FE" w:rsidRPr="00946E97">
        <w:rPr>
          <w:rFonts w:cstheme="minorHAnsi"/>
          <w:iCs/>
          <w:sz w:val="24"/>
          <w:szCs w:val="24"/>
        </w:rPr>
        <w:t xml:space="preserve"> </w:t>
      </w:r>
      <w:r w:rsidR="00D2412A">
        <w:rPr>
          <w:rFonts w:cstheme="minorHAnsi"/>
          <w:iCs/>
          <w:sz w:val="24"/>
          <w:szCs w:val="24"/>
        </w:rPr>
        <w:t xml:space="preserve">The </w:t>
      </w:r>
      <w:r w:rsidR="00E835FE" w:rsidRPr="00946E97">
        <w:rPr>
          <w:rFonts w:cstheme="minorHAnsi"/>
          <w:iCs/>
          <w:sz w:val="24"/>
          <w:szCs w:val="24"/>
        </w:rPr>
        <w:t>Kenya</w:t>
      </w:r>
      <w:r w:rsidR="00D2412A">
        <w:rPr>
          <w:rFonts w:cstheme="minorHAnsi"/>
          <w:iCs/>
          <w:sz w:val="24"/>
          <w:szCs w:val="24"/>
        </w:rPr>
        <w:t>n</w:t>
      </w:r>
      <w:r w:rsidR="00E835FE" w:rsidRPr="00946E97">
        <w:rPr>
          <w:rFonts w:cstheme="minorHAnsi"/>
          <w:iCs/>
          <w:sz w:val="24"/>
          <w:szCs w:val="24"/>
        </w:rPr>
        <w:t xml:space="preserve"> Bill uses </w:t>
      </w:r>
      <w:r w:rsidR="008E65D9" w:rsidRPr="005A1CAD">
        <w:rPr>
          <w:rFonts w:cstheme="minorHAnsi"/>
          <w:i/>
          <w:iCs/>
          <w:sz w:val="24"/>
          <w:szCs w:val="24"/>
        </w:rPr>
        <w:t>“</w:t>
      </w:r>
      <w:r w:rsidR="00E835FE" w:rsidRPr="005A1CAD">
        <w:rPr>
          <w:rFonts w:cstheme="minorHAnsi"/>
          <w:i/>
          <w:iCs/>
          <w:sz w:val="24"/>
          <w:szCs w:val="24"/>
        </w:rPr>
        <w:t xml:space="preserve">manifestation and </w:t>
      </w:r>
      <w:r w:rsidR="008E65D9" w:rsidRPr="005A1CAD">
        <w:rPr>
          <w:rFonts w:cstheme="minorHAnsi"/>
          <w:i/>
          <w:iCs/>
          <w:sz w:val="24"/>
          <w:szCs w:val="24"/>
        </w:rPr>
        <w:t>unequivocal”</w:t>
      </w:r>
      <w:r w:rsidR="00E835FE" w:rsidRPr="005A1CAD">
        <w:rPr>
          <w:rFonts w:cstheme="minorHAnsi"/>
          <w:i/>
          <w:iCs/>
          <w:sz w:val="24"/>
          <w:szCs w:val="24"/>
        </w:rPr>
        <w:t>.</w:t>
      </w:r>
      <w:r w:rsidR="00E835FE" w:rsidRPr="00946E97">
        <w:rPr>
          <w:rFonts w:cstheme="minorHAnsi"/>
          <w:iCs/>
          <w:sz w:val="24"/>
          <w:szCs w:val="24"/>
        </w:rPr>
        <w:t xml:space="preserve"> </w:t>
      </w:r>
    </w:p>
    <w:p w14:paraId="58C2B047" w14:textId="77777777" w:rsidR="003D123A" w:rsidRPr="00946E97" w:rsidRDefault="003D123A" w:rsidP="00D439AE">
      <w:pPr>
        <w:jc w:val="both"/>
        <w:rPr>
          <w:rFonts w:cstheme="minorHAnsi"/>
          <w:iCs/>
          <w:sz w:val="24"/>
          <w:szCs w:val="24"/>
        </w:rPr>
      </w:pPr>
      <w:r w:rsidRPr="00946E97">
        <w:rPr>
          <w:rFonts w:cstheme="minorHAnsi"/>
          <w:iCs/>
          <w:sz w:val="24"/>
          <w:szCs w:val="24"/>
        </w:rPr>
        <w:t>Some of the issues to consider in defining consent in regulations or codes of conduct include</w:t>
      </w:r>
      <w:r w:rsidR="00D2412A">
        <w:rPr>
          <w:rFonts w:cstheme="minorHAnsi"/>
          <w:iCs/>
          <w:sz w:val="24"/>
          <w:szCs w:val="24"/>
        </w:rPr>
        <w:t xml:space="preserve"> that:</w:t>
      </w:r>
    </w:p>
    <w:p w14:paraId="3FF18B61" w14:textId="77777777" w:rsidR="003D123A" w:rsidRPr="00946E97" w:rsidRDefault="003D123A" w:rsidP="00D439AE">
      <w:pPr>
        <w:pStyle w:val="ListParagraph"/>
        <w:numPr>
          <w:ilvl w:val="0"/>
          <w:numId w:val="2"/>
        </w:numPr>
        <w:jc w:val="both"/>
        <w:rPr>
          <w:rFonts w:cstheme="minorHAnsi"/>
          <w:iCs/>
          <w:sz w:val="24"/>
          <w:szCs w:val="24"/>
        </w:rPr>
      </w:pPr>
      <w:r w:rsidRPr="00946E97">
        <w:rPr>
          <w:rFonts w:cstheme="minorHAnsi"/>
          <w:iCs/>
          <w:sz w:val="24"/>
          <w:szCs w:val="24"/>
        </w:rPr>
        <w:lastRenderedPageBreak/>
        <w:t xml:space="preserve">It must be in written statement signed by the data subject or by their guardian (if legally incapacitated that includes minor or individuals unable to attest). </w:t>
      </w:r>
    </w:p>
    <w:p w14:paraId="307CDE2F" w14:textId="77777777" w:rsidR="003D123A" w:rsidRPr="00946E97" w:rsidRDefault="003D123A" w:rsidP="00D439AE">
      <w:pPr>
        <w:pStyle w:val="ListParagraph"/>
        <w:numPr>
          <w:ilvl w:val="0"/>
          <w:numId w:val="2"/>
        </w:numPr>
        <w:jc w:val="both"/>
        <w:rPr>
          <w:rFonts w:cstheme="minorHAnsi"/>
          <w:iCs/>
          <w:sz w:val="24"/>
          <w:szCs w:val="24"/>
        </w:rPr>
      </w:pPr>
      <w:r w:rsidRPr="00946E97">
        <w:rPr>
          <w:rFonts w:cstheme="minorHAnsi"/>
          <w:iCs/>
          <w:sz w:val="24"/>
          <w:szCs w:val="24"/>
        </w:rPr>
        <w:t xml:space="preserve">If associated with forms, or end user level agreements (EULA), </w:t>
      </w:r>
      <w:r w:rsidR="00D2412A">
        <w:rPr>
          <w:rFonts w:cstheme="minorHAnsi"/>
          <w:iCs/>
          <w:sz w:val="24"/>
          <w:szCs w:val="24"/>
        </w:rPr>
        <w:t xml:space="preserve">it </w:t>
      </w:r>
      <w:r w:rsidRPr="00946E97">
        <w:rPr>
          <w:rFonts w:cstheme="minorHAnsi"/>
          <w:iCs/>
          <w:sz w:val="24"/>
          <w:szCs w:val="24"/>
        </w:rPr>
        <w:t xml:space="preserve">must clearly spell out and explained </w:t>
      </w:r>
    </w:p>
    <w:p w14:paraId="416471AA" w14:textId="77777777" w:rsidR="003D123A" w:rsidRPr="00946E97" w:rsidRDefault="003D123A" w:rsidP="00D439AE">
      <w:pPr>
        <w:pStyle w:val="ListParagraph"/>
        <w:numPr>
          <w:ilvl w:val="0"/>
          <w:numId w:val="2"/>
        </w:numPr>
        <w:jc w:val="both"/>
        <w:rPr>
          <w:rFonts w:cstheme="minorHAnsi"/>
          <w:iCs/>
          <w:sz w:val="24"/>
          <w:szCs w:val="24"/>
        </w:rPr>
      </w:pPr>
      <w:r w:rsidRPr="00946E97">
        <w:rPr>
          <w:rFonts w:cstheme="minorHAnsi"/>
          <w:iCs/>
          <w:sz w:val="24"/>
          <w:szCs w:val="24"/>
        </w:rPr>
        <w:t xml:space="preserve">If electronic this may include ticking a box when visiting an internet website. The ticking of a box should not be silent activated. </w:t>
      </w:r>
    </w:p>
    <w:p w14:paraId="45695043" w14:textId="77777777" w:rsidR="003D123A" w:rsidRPr="00946E97" w:rsidRDefault="003D123A" w:rsidP="00D439AE">
      <w:pPr>
        <w:pStyle w:val="ListParagraph"/>
        <w:numPr>
          <w:ilvl w:val="0"/>
          <w:numId w:val="2"/>
        </w:numPr>
        <w:jc w:val="both"/>
        <w:rPr>
          <w:rFonts w:cstheme="minorHAnsi"/>
          <w:iCs/>
          <w:sz w:val="24"/>
          <w:szCs w:val="24"/>
        </w:rPr>
      </w:pPr>
      <w:r w:rsidRPr="00946E97">
        <w:rPr>
          <w:rFonts w:cstheme="minorHAnsi"/>
          <w:iCs/>
          <w:sz w:val="24"/>
          <w:szCs w:val="24"/>
        </w:rPr>
        <w:t>If consent request is through or by electronic means, the request must be clear, concise and not unnecessarily disruptive to the use of the service for which it is provided</w:t>
      </w:r>
    </w:p>
    <w:p w14:paraId="7438FB72" w14:textId="77777777" w:rsidR="00361B2A" w:rsidRPr="00946E97" w:rsidRDefault="003D123A" w:rsidP="00D439AE">
      <w:pPr>
        <w:pStyle w:val="ListParagraph"/>
        <w:numPr>
          <w:ilvl w:val="0"/>
          <w:numId w:val="2"/>
        </w:numPr>
        <w:jc w:val="both"/>
        <w:rPr>
          <w:rFonts w:cstheme="minorHAnsi"/>
          <w:iCs/>
          <w:sz w:val="24"/>
          <w:szCs w:val="24"/>
        </w:rPr>
      </w:pPr>
      <w:r w:rsidRPr="00946E97">
        <w:rPr>
          <w:rFonts w:cstheme="minorHAnsi"/>
          <w:iCs/>
          <w:sz w:val="24"/>
          <w:szCs w:val="24"/>
        </w:rPr>
        <w:t xml:space="preserve">If granted, consent should cover all processing activities carried out for the same purpose or purposes, and if processing is for multiple purposes all purposes should be consented. </w:t>
      </w:r>
    </w:p>
    <w:p w14:paraId="49132DD7" w14:textId="77777777" w:rsidR="009F5240" w:rsidRPr="00946E97" w:rsidRDefault="00361B2A" w:rsidP="00D439AE">
      <w:pPr>
        <w:jc w:val="both"/>
        <w:rPr>
          <w:rFonts w:cstheme="minorHAnsi"/>
          <w:iCs/>
          <w:sz w:val="24"/>
          <w:szCs w:val="24"/>
        </w:rPr>
      </w:pPr>
      <w:r w:rsidRPr="00946E97">
        <w:rPr>
          <w:rFonts w:cstheme="minorHAnsi"/>
          <w:b/>
          <w:i/>
          <w:iCs/>
          <w:sz w:val="24"/>
          <w:szCs w:val="24"/>
        </w:rPr>
        <w:t>Recommendations</w:t>
      </w:r>
      <w:r w:rsidR="003007AF" w:rsidRPr="00946E97">
        <w:rPr>
          <w:rFonts w:cstheme="minorHAnsi"/>
          <w:iCs/>
          <w:sz w:val="24"/>
          <w:szCs w:val="24"/>
        </w:rPr>
        <w:t xml:space="preserve">: </w:t>
      </w:r>
      <w:r w:rsidR="00D2412A">
        <w:rPr>
          <w:rFonts w:cstheme="minorHAnsi"/>
          <w:iCs/>
          <w:sz w:val="24"/>
          <w:szCs w:val="24"/>
        </w:rPr>
        <w:t>S</w:t>
      </w:r>
      <w:r w:rsidR="00A951B7" w:rsidRPr="00946E97">
        <w:rPr>
          <w:rFonts w:cstheme="minorHAnsi"/>
          <w:iCs/>
          <w:sz w:val="24"/>
          <w:szCs w:val="24"/>
        </w:rPr>
        <w:t>ection</w:t>
      </w:r>
      <w:r w:rsidR="00D2412A">
        <w:rPr>
          <w:rFonts w:cstheme="minorHAnsi"/>
          <w:iCs/>
          <w:sz w:val="24"/>
          <w:szCs w:val="24"/>
        </w:rPr>
        <w:t>s</w:t>
      </w:r>
      <w:r w:rsidR="00A951B7" w:rsidRPr="00946E97">
        <w:rPr>
          <w:rFonts w:cstheme="minorHAnsi"/>
          <w:iCs/>
          <w:sz w:val="24"/>
          <w:szCs w:val="24"/>
        </w:rPr>
        <w:t xml:space="preserve"> on consent are spread throughout the Bill’s provisions on processing of data. However, through regulations, </w:t>
      </w:r>
      <w:r w:rsidR="007D4C98">
        <w:rPr>
          <w:rFonts w:cstheme="minorHAnsi"/>
          <w:iCs/>
          <w:sz w:val="24"/>
          <w:szCs w:val="24"/>
        </w:rPr>
        <w:t xml:space="preserve">the </w:t>
      </w:r>
      <w:r w:rsidR="00A951B7" w:rsidRPr="00946E97">
        <w:rPr>
          <w:rFonts w:cstheme="minorHAnsi"/>
          <w:iCs/>
          <w:sz w:val="24"/>
          <w:szCs w:val="24"/>
        </w:rPr>
        <w:t xml:space="preserve">Bill can be strengthened on how to </w:t>
      </w:r>
      <w:r w:rsidR="003007AF" w:rsidRPr="00946E97">
        <w:rPr>
          <w:rFonts w:cstheme="minorHAnsi"/>
          <w:iCs/>
          <w:sz w:val="24"/>
          <w:szCs w:val="24"/>
        </w:rPr>
        <w:t xml:space="preserve">specify the various nature and forms of consent </w:t>
      </w:r>
      <w:r w:rsidR="00A951B7" w:rsidRPr="00946E97">
        <w:rPr>
          <w:rFonts w:cstheme="minorHAnsi"/>
          <w:iCs/>
          <w:sz w:val="24"/>
          <w:szCs w:val="24"/>
        </w:rPr>
        <w:t>considered sufficient</w:t>
      </w:r>
      <w:r w:rsidR="003007AF" w:rsidRPr="00946E97">
        <w:rPr>
          <w:rFonts w:cstheme="minorHAnsi"/>
          <w:iCs/>
          <w:sz w:val="24"/>
          <w:szCs w:val="24"/>
        </w:rPr>
        <w:t>. Further, the burden of proof that consent was given s</w:t>
      </w:r>
      <w:r w:rsidR="00A951B7" w:rsidRPr="00946E97">
        <w:rPr>
          <w:rFonts w:cstheme="minorHAnsi"/>
          <w:iCs/>
          <w:sz w:val="24"/>
          <w:szCs w:val="24"/>
        </w:rPr>
        <w:t xml:space="preserve">hould be on the data controller. </w:t>
      </w:r>
      <w:r w:rsidR="00AD5F2B">
        <w:rPr>
          <w:rFonts w:cstheme="minorHAnsi"/>
          <w:iCs/>
          <w:sz w:val="24"/>
          <w:szCs w:val="24"/>
        </w:rPr>
        <w:t>At the very minimum the definition must encapsulate the following</w:t>
      </w:r>
      <w:r w:rsidR="006213D9">
        <w:rPr>
          <w:rFonts w:cstheme="minorHAnsi"/>
          <w:iCs/>
          <w:sz w:val="24"/>
          <w:szCs w:val="24"/>
        </w:rPr>
        <w:t xml:space="preserve"> </w:t>
      </w:r>
      <w:r w:rsidR="00F21518" w:rsidRPr="00AD5F2B">
        <w:rPr>
          <w:rFonts w:cstheme="minorHAnsi"/>
          <w:iCs/>
          <w:sz w:val="24"/>
          <w:szCs w:val="24"/>
        </w:rPr>
        <w:t xml:space="preserve">attributes </w:t>
      </w:r>
      <w:r w:rsidR="00AD5F2B">
        <w:rPr>
          <w:rFonts w:cstheme="minorHAnsi"/>
          <w:iCs/>
          <w:sz w:val="24"/>
          <w:szCs w:val="24"/>
        </w:rPr>
        <w:t xml:space="preserve">to constitute </w:t>
      </w:r>
      <w:r w:rsidR="00F21518" w:rsidRPr="00AD5F2B">
        <w:rPr>
          <w:rFonts w:cstheme="minorHAnsi"/>
          <w:iCs/>
          <w:sz w:val="24"/>
          <w:szCs w:val="24"/>
        </w:rPr>
        <w:t>lawful</w:t>
      </w:r>
      <w:r w:rsidR="00AD5F2B">
        <w:rPr>
          <w:rFonts w:cstheme="minorHAnsi"/>
          <w:iCs/>
          <w:sz w:val="24"/>
          <w:szCs w:val="24"/>
        </w:rPr>
        <w:t xml:space="preserve"> consent</w:t>
      </w:r>
      <w:r w:rsidR="00F21518" w:rsidRPr="00AD5F2B">
        <w:rPr>
          <w:rFonts w:cstheme="minorHAnsi"/>
          <w:iCs/>
          <w:sz w:val="24"/>
          <w:szCs w:val="24"/>
        </w:rPr>
        <w:t xml:space="preserve">: </w:t>
      </w:r>
      <w:r w:rsidR="00AD5F2B">
        <w:rPr>
          <w:rFonts w:cstheme="minorHAnsi"/>
          <w:bCs/>
          <w:iCs/>
          <w:sz w:val="24"/>
          <w:szCs w:val="24"/>
        </w:rPr>
        <w:t>f</w:t>
      </w:r>
      <w:r w:rsidR="006213D9" w:rsidRPr="00AD5F2B">
        <w:rPr>
          <w:rFonts w:cstheme="minorHAnsi"/>
          <w:bCs/>
          <w:iCs/>
          <w:sz w:val="24"/>
          <w:szCs w:val="24"/>
        </w:rPr>
        <w:t>reely given</w:t>
      </w:r>
      <w:r w:rsidR="00AD5F2B">
        <w:rPr>
          <w:rFonts w:cstheme="minorHAnsi"/>
          <w:iCs/>
          <w:sz w:val="24"/>
          <w:szCs w:val="24"/>
        </w:rPr>
        <w:t xml:space="preserve"> in that </w:t>
      </w:r>
      <w:r w:rsidR="006213D9" w:rsidRPr="00AD5F2B">
        <w:rPr>
          <w:rFonts w:cstheme="minorHAnsi"/>
          <w:iCs/>
          <w:sz w:val="24"/>
          <w:szCs w:val="24"/>
        </w:rPr>
        <w:t>the person must not be pressured into giving consent or suff</w:t>
      </w:r>
      <w:r w:rsidR="00AD5F2B">
        <w:rPr>
          <w:rFonts w:cstheme="minorHAnsi"/>
          <w:iCs/>
          <w:sz w:val="24"/>
          <w:szCs w:val="24"/>
        </w:rPr>
        <w:t xml:space="preserve">er any detriment if they refuse; </w:t>
      </w:r>
      <w:r w:rsidR="006213D9" w:rsidRPr="00AD5F2B">
        <w:rPr>
          <w:rFonts w:cstheme="minorHAnsi"/>
          <w:bCs/>
          <w:iCs/>
          <w:sz w:val="24"/>
          <w:szCs w:val="24"/>
        </w:rPr>
        <w:t>Specific</w:t>
      </w:r>
      <w:r w:rsidR="00AD5F2B">
        <w:rPr>
          <w:rFonts w:cstheme="minorHAnsi"/>
          <w:iCs/>
          <w:sz w:val="24"/>
          <w:szCs w:val="24"/>
        </w:rPr>
        <w:t xml:space="preserve">, in that </w:t>
      </w:r>
      <w:r w:rsidR="006213D9" w:rsidRPr="00AD5F2B">
        <w:rPr>
          <w:rFonts w:cstheme="minorHAnsi"/>
          <w:iCs/>
          <w:sz w:val="24"/>
          <w:szCs w:val="24"/>
        </w:rPr>
        <w:t>the person must be asked to consent to individual types of data processing.</w:t>
      </w:r>
      <w:r w:rsidR="00F21518" w:rsidRPr="00AD5F2B">
        <w:rPr>
          <w:rFonts w:cstheme="minorHAnsi"/>
          <w:iCs/>
          <w:sz w:val="24"/>
          <w:szCs w:val="24"/>
        </w:rPr>
        <w:t xml:space="preserve"> </w:t>
      </w:r>
      <w:r w:rsidR="006213D9" w:rsidRPr="00AD5F2B">
        <w:rPr>
          <w:rFonts w:cstheme="minorHAnsi"/>
          <w:bCs/>
          <w:iCs/>
          <w:sz w:val="24"/>
          <w:szCs w:val="24"/>
        </w:rPr>
        <w:t>Informed</w:t>
      </w:r>
      <w:r w:rsidR="00AD5F2B">
        <w:rPr>
          <w:rFonts w:cstheme="minorHAnsi"/>
          <w:iCs/>
          <w:sz w:val="24"/>
          <w:szCs w:val="24"/>
        </w:rPr>
        <w:t xml:space="preserve">; </w:t>
      </w:r>
      <w:r w:rsidR="006213D9" w:rsidRPr="00AD5F2B">
        <w:rPr>
          <w:rFonts w:cstheme="minorHAnsi"/>
          <w:iCs/>
          <w:sz w:val="24"/>
          <w:szCs w:val="24"/>
        </w:rPr>
        <w:t>the person must be told what they're consenting to.</w:t>
      </w:r>
      <w:r w:rsidR="00F21518" w:rsidRPr="00AD5F2B">
        <w:rPr>
          <w:rFonts w:cstheme="minorHAnsi"/>
          <w:iCs/>
          <w:sz w:val="24"/>
          <w:szCs w:val="24"/>
        </w:rPr>
        <w:t xml:space="preserve"> </w:t>
      </w:r>
      <w:r w:rsidR="006213D9" w:rsidRPr="00AD5F2B">
        <w:rPr>
          <w:rFonts w:cstheme="minorHAnsi"/>
          <w:bCs/>
          <w:iCs/>
          <w:sz w:val="24"/>
          <w:szCs w:val="24"/>
        </w:rPr>
        <w:t>Unambiguous</w:t>
      </w:r>
      <w:r w:rsidR="006213D9" w:rsidRPr="00AD5F2B">
        <w:rPr>
          <w:rFonts w:cstheme="minorHAnsi"/>
          <w:iCs/>
          <w:sz w:val="24"/>
          <w:szCs w:val="24"/>
        </w:rPr>
        <w:t> - language must be clear and simple.</w:t>
      </w:r>
      <w:r w:rsidR="00F21518" w:rsidRPr="00AD5F2B">
        <w:rPr>
          <w:rFonts w:cstheme="minorHAnsi"/>
          <w:iCs/>
          <w:sz w:val="24"/>
          <w:szCs w:val="24"/>
        </w:rPr>
        <w:t xml:space="preserve"> </w:t>
      </w:r>
      <w:r w:rsidR="006213D9" w:rsidRPr="00AD5F2B">
        <w:rPr>
          <w:rFonts w:cstheme="minorHAnsi"/>
          <w:bCs/>
          <w:iCs/>
          <w:sz w:val="24"/>
          <w:szCs w:val="24"/>
        </w:rPr>
        <w:t>Clear affirmative action</w:t>
      </w:r>
      <w:r w:rsidR="00AD5F2B">
        <w:rPr>
          <w:rFonts w:cstheme="minorHAnsi"/>
          <w:iCs/>
          <w:sz w:val="24"/>
          <w:szCs w:val="24"/>
        </w:rPr>
        <w:t xml:space="preserve">; </w:t>
      </w:r>
      <w:r w:rsidR="006213D9" w:rsidRPr="00AD5F2B">
        <w:rPr>
          <w:rFonts w:cstheme="minorHAnsi"/>
          <w:iCs/>
          <w:sz w:val="24"/>
          <w:szCs w:val="24"/>
        </w:rPr>
        <w:t>the person must expressly consent by doing or saying something</w:t>
      </w:r>
      <w:r w:rsidR="008E57BC" w:rsidRPr="00AD5F2B">
        <w:rPr>
          <w:rFonts w:cstheme="minorHAnsi"/>
          <w:iCs/>
          <w:sz w:val="24"/>
          <w:szCs w:val="24"/>
        </w:rPr>
        <w:t xml:space="preserve"> or doing something.</w:t>
      </w:r>
      <w:r w:rsidR="008E57BC" w:rsidRPr="00AD5F2B">
        <w:rPr>
          <w:rStyle w:val="FootnoteReference"/>
          <w:rFonts w:cstheme="minorHAnsi"/>
          <w:iCs/>
          <w:sz w:val="24"/>
          <w:szCs w:val="24"/>
        </w:rPr>
        <w:footnoteReference w:id="4"/>
      </w:r>
    </w:p>
    <w:p w14:paraId="7FD25A75" w14:textId="77777777" w:rsidR="00C21D28" w:rsidRPr="005A1CAD" w:rsidRDefault="000C65AA" w:rsidP="005A1CAD">
      <w:pPr>
        <w:pStyle w:val="ListParagraph"/>
        <w:numPr>
          <w:ilvl w:val="0"/>
          <w:numId w:val="8"/>
        </w:numPr>
        <w:jc w:val="both"/>
        <w:rPr>
          <w:rFonts w:cstheme="minorHAnsi"/>
          <w:b/>
          <w:iCs/>
          <w:sz w:val="24"/>
          <w:szCs w:val="24"/>
        </w:rPr>
      </w:pPr>
      <w:r w:rsidRPr="005A1CAD">
        <w:rPr>
          <w:rFonts w:cstheme="minorHAnsi"/>
          <w:b/>
          <w:iCs/>
          <w:sz w:val="24"/>
          <w:szCs w:val="24"/>
        </w:rPr>
        <w:t xml:space="preserve">Personal information and sensitive data </w:t>
      </w:r>
    </w:p>
    <w:p w14:paraId="43E5340A" w14:textId="77777777" w:rsidR="00C21D28" w:rsidRPr="00946E97" w:rsidRDefault="00C21D28" w:rsidP="00D439AE">
      <w:pPr>
        <w:jc w:val="both"/>
        <w:rPr>
          <w:rFonts w:cstheme="minorHAnsi"/>
          <w:iCs/>
          <w:sz w:val="24"/>
          <w:szCs w:val="24"/>
        </w:rPr>
      </w:pPr>
      <w:r w:rsidRPr="00946E97">
        <w:rPr>
          <w:rFonts w:cstheme="minorHAnsi"/>
          <w:b/>
          <w:i/>
          <w:iCs/>
          <w:sz w:val="24"/>
          <w:szCs w:val="24"/>
        </w:rPr>
        <w:t>Issue</w:t>
      </w:r>
      <w:r w:rsidR="00586A3D" w:rsidRPr="00946E97">
        <w:rPr>
          <w:rFonts w:cstheme="minorHAnsi"/>
          <w:iCs/>
          <w:sz w:val="24"/>
          <w:szCs w:val="24"/>
        </w:rPr>
        <w:t xml:space="preserve">: </w:t>
      </w:r>
      <w:r w:rsidR="007D4C98">
        <w:rPr>
          <w:rFonts w:cstheme="minorHAnsi"/>
          <w:iCs/>
          <w:sz w:val="24"/>
          <w:szCs w:val="24"/>
        </w:rPr>
        <w:t>P</w:t>
      </w:r>
      <w:r w:rsidR="00586A3D" w:rsidRPr="00946E97">
        <w:rPr>
          <w:rFonts w:cstheme="minorHAnsi"/>
          <w:iCs/>
          <w:sz w:val="24"/>
          <w:szCs w:val="24"/>
        </w:rPr>
        <w:t>ersonal information</w:t>
      </w:r>
      <w:r w:rsidR="00A43050">
        <w:rPr>
          <w:rFonts w:cstheme="minorHAnsi"/>
          <w:iCs/>
          <w:sz w:val="24"/>
          <w:szCs w:val="24"/>
        </w:rPr>
        <w:t xml:space="preserve"> and sensitive data definitions</w:t>
      </w:r>
    </w:p>
    <w:p w14:paraId="4B0A2F16" w14:textId="77777777" w:rsidR="00DC741F" w:rsidRPr="00946E97" w:rsidRDefault="00C21D28" w:rsidP="00D439AE">
      <w:pPr>
        <w:jc w:val="both"/>
        <w:rPr>
          <w:rFonts w:cstheme="minorHAnsi"/>
          <w:iCs/>
          <w:sz w:val="24"/>
          <w:szCs w:val="24"/>
        </w:rPr>
      </w:pPr>
      <w:r w:rsidRPr="00946E97">
        <w:rPr>
          <w:rFonts w:cstheme="minorHAnsi"/>
          <w:b/>
          <w:i/>
          <w:iCs/>
          <w:sz w:val="24"/>
          <w:szCs w:val="24"/>
        </w:rPr>
        <w:t>Discussion</w:t>
      </w:r>
      <w:r w:rsidR="00586A3D" w:rsidRPr="00946E97">
        <w:rPr>
          <w:rFonts w:cstheme="minorHAnsi"/>
          <w:iCs/>
          <w:sz w:val="24"/>
          <w:szCs w:val="24"/>
        </w:rPr>
        <w:t xml:space="preserve">: </w:t>
      </w:r>
      <w:r w:rsidR="00095EA9" w:rsidRPr="00946E97">
        <w:rPr>
          <w:rFonts w:cstheme="minorHAnsi"/>
          <w:iCs/>
          <w:sz w:val="24"/>
          <w:szCs w:val="24"/>
        </w:rPr>
        <w:t>Personal information definition can be expanded to include other identifiable elements which are currently not included in the Bill.</w:t>
      </w:r>
      <w:r w:rsidR="00D026B3" w:rsidRPr="00946E97">
        <w:rPr>
          <w:rFonts w:cstheme="minorHAnsi"/>
          <w:iCs/>
          <w:sz w:val="24"/>
          <w:szCs w:val="24"/>
        </w:rPr>
        <w:t xml:space="preserve"> The definition of personal information can include objective and subjective elements.</w:t>
      </w:r>
      <w:r w:rsidR="00095EA9" w:rsidRPr="00946E97">
        <w:rPr>
          <w:rFonts w:cstheme="minorHAnsi"/>
          <w:iCs/>
          <w:sz w:val="24"/>
          <w:szCs w:val="24"/>
        </w:rPr>
        <w:t xml:space="preserve"> </w:t>
      </w:r>
      <w:r w:rsidR="00DC741F" w:rsidRPr="00946E97">
        <w:rPr>
          <w:rFonts w:cstheme="minorHAnsi"/>
          <w:iCs/>
          <w:sz w:val="24"/>
          <w:szCs w:val="24"/>
        </w:rPr>
        <w:t xml:space="preserve"> The </w:t>
      </w:r>
      <w:r w:rsidR="00095EA9" w:rsidRPr="00946E97">
        <w:rPr>
          <w:rFonts w:cstheme="minorHAnsi"/>
          <w:iCs/>
          <w:sz w:val="24"/>
          <w:szCs w:val="24"/>
        </w:rPr>
        <w:t xml:space="preserve">Bill includes traffic data in definition </w:t>
      </w:r>
      <w:r w:rsidR="00E26A99" w:rsidRPr="00946E97">
        <w:rPr>
          <w:rFonts w:cstheme="minorHAnsi"/>
          <w:iCs/>
          <w:sz w:val="24"/>
          <w:szCs w:val="24"/>
        </w:rPr>
        <w:t xml:space="preserve">of data. This means </w:t>
      </w:r>
      <w:r w:rsidR="00095EA9" w:rsidRPr="00946E97">
        <w:rPr>
          <w:rFonts w:cstheme="minorHAnsi"/>
          <w:iCs/>
          <w:sz w:val="24"/>
          <w:szCs w:val="24"/>
        </w:rPr>
        <w:t>that a cellphone number or an Internet Protocol</w:t>
      </w:r>
      <w:r w:rsidR="00114881" w:rsidRPr="00946E97">
        <w:rPr>
          <w:rFonts w:cstheme="minorHAnsi"/>
          <w:iCs/>
          <w:sz w:val="24"/>
          <w:szCs w:val="24"/>
        </w:rPr>
        <w:t xml:space="preserve"> (</w:t>
      </w:r>
      <w:r w:rsidR="007B65F7">
        <w:rPr>
          <w:rFonts w:cstheme="minorHAnsi"/>
          <w:iCs/>
          <w:sz w:val="24"/>
          <w:szCs w:val="24"/>
        </w:rPr>
        <w:t>IP) address</w:t>
      </w:r>
      <w:r w:rsidR="00095EA9" w:rsidRPr="00946E97">
        <w:rPr>
          <w:rFonts w:cstheme="minorHAnsi"/>
          <w:iCs/>
          <w:sz w:val="24"/>
          <w:szCs w:val="24"/>
        </w:rPr>
        <w:t xml:space="preserve">, </w:t>
      </w:r>
      <w:r w:rsidR="0016771B" w:rsidRPr="00946E97">
        <w:rPr>
          <w:rFonts w:cstheme="minorHAnsi"/>
          <w:iCs/>
          <w:sz w:val="24"/>
          <w:szCs w:val="24"/>
        </w:rPr>
        <w:t xml:space="preserve">e-mail address, </w:t>
      </w:r>
      <w:r w:rsidR="00114881" w:rsidRPr="00946E97">
        <w:rPr>
          <w:rFonts w:cstheme="minorHAnsi"/>
          <w:iCs/>
          <w:sz w:val="24"/>
          <w:szCs w:val="24"/>
        </w:rPr>
        <w:t xml:space="preserve">location data </w:t>
      </w:r>
      <w:r w:rsidR="007B65F7">
        <w:rPr>
          <w:rFonts w:cstheme="minorHAnsi"/>
          <w:iCs/>
          <w:sz w:val="24"/>
          <w:szCs w:val="24"/>
        </w:rPr>
        <w:t>constitute</w:t>
      </w:r>
      <w:r w:rsidR="00095EA9" w:rsidRPr="00946E97">
        <w:rPr>
          <w:rFonts w:cstheme="minorHAnsi"/>
          <w:iCs/>
          <w:sz w:val="24"/>
          <w:szCs w:val="24"/>
        </w:rPr>
        <w:t xml:space="preserve"> personal information. </w:t>
      </w:r>
    </w:p>
    <w:p w14:paraId="60BD3575" w14:textId="77777777" w:rsidR="00095EA9" w:rsidRPr="00946E97" w:rsidRDefault="007C7892" w:rsidP="00D439AE">
      <w:pPr>
        <w:jc w:val="both"/>
        <w:rPr>
          <w:rFonts w:cstheme="minorHAnsi"/>
          <w:iCs/>
          <w:sz w:val="24"/>
          <w:szCs w:val="24"/>
        </w:rPr>
      </w:pPr>
      <w:r w:rsidRPr="00946E97">
        <w:rPr>
          <w:rFonts w:cstheme="minorHAnsi"/>
          <w:iCs/>
          <w:sz w:val="24"/>
          <w:szCs w:val="24"/>
        </w:rPr>
        <w:t xml:space="preserve">Online identifiers </w:t>
      </w:r>
      <w:r w:rsidR="00114881" w:rsidRPr="00946E97">
        <w:rPr>
          <w:rFonts w:cstheme="minorHAnsi"/>
          <w:iCs/>
          <w:sz w:val="24"/>
          <w:szCs w:val="24"/>
        </w:rPr>
        <w:t>such as IP address, cookie identifiers, or even radio frequency identifications</w:t>
      </w:r>
      <w:r w:rsidR="003F7F78">
        <w:rPr>
          <w:rFonts w:cstheme="minorHAnsi"/>
          <w:iCs/>
          <w:sz w:val="24"/>
          <w:szCs w:val="24"/>
        </w:rPr>
        <w:t xml:space="preserve"> (RFID)</w:t>
      </w:r>
      <w:r w:rsidR="00114881" w:rsidRPr="00946E97">
        <w:rPr>
          <w:rFonts w:cstheme="minorHAnsi"/>
          <w:iCs/>
          <w:sz w:val="24"/>
          <w:szCs w:val="24"/>
        </w:rPr>
        <w:t xml:space="preserve"> tags </w:t>
      </w:r>
      <w:r w:rsidR="00B70F05">
        <w:rPr>
          <w:rFonts w:cstheme="minorHAnsi"/>
          <w:iCs/>
          <w:sz w:val="24"/>
          <w:szCs w:val="24"/>
        </w:rPr>
        <w:t>must be considered as</w:t>
      </w:r>
      <w:r w:rsidR="00114881" w:rsidRPr="00946E97">
        <w:rPr>
          <w:rFonts w:cstheme="minorHAnsi"/>
          <w:iCs/>
          <w:sz w:val="24"/>
          <w:szCs w:val="24"/>
        </w:rPr>
        <w:t xml:space="preserve"> personal information. </w:t>
      </w:r>
      <w:r w:rsidR="00416D25" w:rsidRPr="00946E97">
        <w:rPr>
          <w:rFonts w:cstheme="minorHAnsi"/>
          <w:iCs/>
          <w:sz w:val="24"/>
          <w:szCs w:val="24"/>
        </w:rPr>
        <w:t xml:space="preserve">A customer number or customer account </w:t>
      </w:r>
      <w:r w:rsidR="005D3933">
        <w:rPr>
          <w:rFonts w:cstheme="minorHAnsi"/>
          <w:iCs/>
          <w:sz w:val="24"/>
          <w:szCs w:val="24"/>
        </w:rPr>
        <w:t>is</w:t>
      </w:r>
      <w:r w:rsidR="00416D25" w:rsidRPr="00946E97">
        <w:rPr>
          <w:rFonts w:cstheme="minorHAnsi"/>
          <w:iCs/>
          <w:sz w:val="24"/>
          <w:szCs w:val="24"/>
        </w:rPr>
        <w:t xml:space="preserve"> covered</w:t>
      </w:r>
      <w:r w:rsidR="005D3933">
        <w:rPr>
          <w:rFonts w:cstheme="minorHAnsi"/>
          <w:iCs/>
          <w:sz w:val="24"/>
          <w:szCs w:val="24"/>
        </w:rPr>
        <w:t xml:space="preserve"> under an identifying number (d)</w:t>
      </w:r>
      <w:r w:rsidR="00416D25" w:rsidRPr="00946E97">
        <w:rPr>
          <w:rFonts w:cstheme="minorHAnsi"/>
          <w:iCs/>
          <w:sz w:val="24"/>
          <w:szCs w:val="24"/>
        </w:rPr>
        <w:t xml:space="preserve">. </w:t>
      </w:r>
      <w:r w:rsidR="0087559F" w:rsidRPr="00946E97">
        <w:rPr>
          <w:rFonts w:cstheme="minorHAnsi"/>
          <w:iCs/>
          <w:sz w:val="24"/>
          <w:szCs w:val="24"/>
        </w:rPr>
        <w:t>Subjective elements include written answers in a test for educa</w:t>
      </w:r>
      <w:r w:rsidR="008E47C3">
        <w:rPr>
          <w:rFonts w:cstheme="minorHAnsi"/>
          <w:iCs/>
          <w:sz w:val="24"/>
          <w:szCs w:val="24"/>
        </w:rPr>
        <w:t>tion purposes, or responses during j</w:t>
      </w:r>
      <w:r w:rsidR="0087559F" w:rsidRPr="00946E97">
        <w:rPr>
          <w:rFonts w:cstheme="minorHAnsi"/>
          <w:iCs/>
          <w:sz w:val="24"/>
          <w:szCs w:val="24"/>
        </w:rPr>
        <w:t>ob interviews,</w:t>
      </w:r>
      <w:r w:rsidR="00B018D7" w:rsidRPr="00946E97">
        <w:rPr>
          <w:rFonts w:cstheme="minorHAnsi"/>
          <w:iCs/>
          <w:sz w:val="24"/>
          <w:szCs w:val="24"/>
        </w:rPr>
        <w:t xml:space="preserve"> or performance evaluation report at a workplace, and </w:t>
      </w:r>
      <w:r w:rsidR="0087559F" w:rsidRPr="00946E97">
        <w:rPr>
          <w:rFonts w:cstheme="minorHAnsi"/>
          <w:iCs/>
          <w:sz w:val="24"/>
          <w:szCs w:val="24"/>
        </w:rPr>
        <w:t>creditworthiness scores</w:t>
      </w:r>
      <w:r w:rsidR="00B018D7" w:rsidRPr="00946E97">
        <w:rPr>
          <w:rFonts w:cstheme="minorHAnsi"/>
          <w:iCs/>
          <w:sz w:val="24"/>
          <w:szCs w:val="24"/>
        </w:rPr>
        <w:t xml:space="preserve"> by a bank or credit institution</w:t>
      </w:r>
      <w:r w:rsidR="0087559F" w:rsidRPr="00946E97">
        <w:rPr>
          <w:rFonts w:cstheme="minorHAnsi"/>
          <w:iCs/>
          <w:sz w:val="24"/>
          <w:szCs w:val="24"/>
        </w:rPr>
        <w:t>.</w:t>
      </w:r>
      <w:r w:rsidR="00416D25" w:rsidRPr="00946E97">
        <w:rPr>
          <w:rFonts w:cstheme="minorHAnsi"/>
          <w:iCs/>
          <w:sz w:val="24"/>
          <w:szCs w:val="24"/>
        </w:rPr>
        <w:t xml:space="preserve"> </w:t>
      </w:r>
    </w:p>
    <w:p w14:paraId="55B8BADF" w14:textId="77777777" w:rsidR="00C21D28" w:rsidRPr="00946E97" w:rsidRDefault="00B018D7" w:rsidP="00D439AE">
      <w:pPr>
        <w:jc w:val="both"/>
        <w:rPr>
          <w:rFonts w:cstheme="minorHAnsi"/>
          <w:iCs/>
          <w:sz w:val="24"/>
          <w:szCs w:val="24"/>
        </w:rPr>
      </w:pPr>
      <w:r w:rsidRPr="00946E97">
        <w:rPr>
          <w:rFonts w:cstheme="minorHAnsi"/>
          <w:iCs/>
          <w:sz w:val="24"/>
          <w:szCs w:val="24"/>
        </w:rPr>
        <w:t>P</w:t>
      </w:r>
      <w:r w:rsidR="00586A3D" w:rsidRPr="00946E97">
        <w:rPr>
          <w:rFonts w:cstheme="minorHAnsi"/>
          <w:iCs/>
          <w:sz w:val="24"/>
          <w:szCs w:val="24"/>
        </w:rPr>
        <w:t xml:space="preserve">ersonal health information and status </w:t>
      </w:r>
      <w:r w:rsidR="003D749E" w:rsidRPr="00946E97">
        <w:rPr>
          <w:rFonts w:cstheme="minorHAnsi"/>
          <w:iCs/>
          <w:sz w:val="24"/>
          <w:szCs w:val="24"/>
        </w:rPr>
        <w:t>are</w:t>
      </w:r>
      <w:r w:rsidR="00586A3D" w:rsidRPr="00946E97">
        <w:rPr>
          <w:rFonts w:cstheme="minorHAnsi"/>
          <w:iCs/>
          <w:sz w:val="24"/>
          <w:szCs w:val="24"/>
        </w:rPr>
        <w:t xml:space="preserve"> sensitive and should be accorded the utmost protection</w:t>
      </w:r>
      <w:r w:rsidR="007D4C98">
        <w:rPr>
          <w:rFonts w:cstheme="minorHAnsi"/>
          <w:iCs/>
          <w:sz w:val="24"/>
          <w:szCs w:val="24"/>
        </w:rPr>
        <w:t xml:space="preserve"> </w:t>
      </w:r>
      <w:r w:rsidR="00586A3D" w:rsidRPr="00946E97">
        <w:rPr>
          <w:rFonts w:cstheme="minorHAnsi"/>
          <w:iCs/>
          <w:sz w:val="24"/>
          <w:szCs w:val="24"/>
        </w:rPr>
        <w:t>that enforces one’s privacy and d</w:t>
      </w:r>
      <w:r w:rsidR="003D749E" w:rsidRPr="00946E97">
        <w:rPr>
          <w:rFonts w:cstheme="minorHAnsi"/>
          <w:iCs/>
          <w:sz w:val="24"/>
          <w:szCs w:val="24"/>
        </w:rPr>
        <w:t>ignity as per th</w:t>
      </w:r>
      <w:r w:rsidR="008A62DD">
        <w:rPr>
          <w:rFonts w:cstheme="minorHAnsi"/>
          <w:iCs/>
          <w:sz w:val="24"/>
          <w:szCs w:val="24"/>
        </w:rPr>
        <w:t xml:space="preserve">e constitution. Insurance or </w:t>
      </w:r>
      <w:r w:rsidR="003D749E" w:rsidRPr="00946E97">
        <w:rPr>
          <w:rFonts w:cstheme="minorHAnsi"/>
          <w:iCs/>
          <w:sz w:val="24"/>
          <w:szCs w:val="24"/>
        </w:rPr>
        <w:t xml:space="preserve">medical institutions </w:t>
      </w:r>
      <w:r w:rsidR="00D22A07">
        <w:rPr>
          <w:rFonts w:cstheme="minorHAnsi"/>
          <w:iCs/>
          <w:sz w:val="24"/>
          <w:szCs w:val="24"/>
        </w:rPr>
        <w:t xml:space="preserve">are vulnerable to unlawful disclosures </w:t>
      </w:r>
      <w:r w:rsidR="003D749E" w:rsidRPr="00946E97">
        <w:rPr>
          <w:rFonts w:cstheme="minorHAnsi"/>
          <w:iCs/>
          <w:sz w:val="24"/>
          <w:szCs w:val="24"/>
        </w:rPr>
        <w:t>people</w:t>
      </w:r>
      <w:r w:rsidR="00D22A07">
        <w:rPr>
          <w:rFonts w:cstheme="minorHAnsi"/>
          <w:iCs/>
          <w:sz w:val="24"/>
          <w:szCs w:val="24"/>
        </w:rPr>
        <w:t>’s</w:t>
      </w:r>
      <w:r w:rsidR="003D749E" w:rsidRPr="00946E97">
        <w:rPr>
          <w:rFonts w:cstheme="minorHAnsi"/>
          <w:iCs/>
          <w:sz w:val="24"/>
          <w:szCs w:val="24"/>
        </w:rPr>
        <w:t xml:space="preserve"> medical history and status.</w:t>
      </w:r>
      <w:r w:rsidR="00095EA9" w:rsidRPr="00946E97">
        <w:rPr>
          <w:rFonts w:cstheme="minorHAnsi"/>
          <w:iCs/>
          <w:sz w:val="24"/>
          <w:szCs w:val="24"/>
        </w:rPr>
        <w:t xml:space="preserve"> </w:t>
      </w:r>
      <w:r w:rsidR="009F43AE" w:rsidRPr="00946E97">
        <w:rPr>
          <w:rFonts w:cstheme="minorHAnsi"/>
          <w:iCs/>
          <w:sz w:val="24"/>
          <w:szCs w:val="24"/>
        </w:rPr>
        <w:t xml:space="preserve">The Bill </w:t>
      </w:r>
      <w:r w:rsidR="00032988">
        <w:rPr>
          <w:rFonts w:cstheme="minorHAnsi"/>
          <w:iCs/>
          <w:sz w:val="24"/>
          <w:szCs w:val="24"/>
        </w:rPr>
        <w:lastRenderedPageBreak/>
        <w:t>provides for</w:t>
      </w:r>
      <w:r w:rsidR="009F43AE" w:rsidRPr="00946E97">
        <w:rPr>
          <w:rFonts w:cstheme="minorHAnsi"/>
          <w:iCs/>
          <w:sz w:val="24"/>
          <w:szCs w:val="24"/>
        </w:rPr>
        <w:t xml:space="preserve"> unique pa</w:t>
      </w:r>
      <w:r w:rsidR="00385172" w:rsidRPr="00946E97">
        <w:rPr>
          <w:rFonts w:cstheme="minorHAnsi"/>
          <w:iCs/>
          <w:sz w:val="24"/>
          <w:szCs w:val="24"/>
        </w:rPr>
        <w:t xml:space="preserve">tient identifier, as used for purposes of identifying genetic data. A definition of unique identifier might be necessary </w:t>
      </w:r>
      <w:r w:rsidR="000C264D">
        <w:rPr>
          <w:rFonts w:cstheme="minorHAnsi"/>
          <w:iCs/>
          <w:sz w:val="24"/>
          <w:szCs w:val="24"/>
        </w:rPr>
        <w:t>for avoidance</w:t>
      </w:r>
      <w:r w:rsidR="00385172" w:rsidRPr="00946E97">
        <w:rPr>
          <w:rFonts w:cstheme="minorHAnsi"/>
          <w:iCs/>
          <w:sz w:val="24"/>
          <w:szCs w:val="24"/>
        </w:rPr>
        <w:t xml:space="preserve"> doubt.</w:t>
      </w:r>
    </w:p>
    <w:p w14:paraId="2AE5D009" w14:textId="77777777" w:rsidR="00076CD4" w:rsidRDefault="00C21D28" w:rsidP="00D439AE">
      <w:pPr>
        <w:jc w:val="both"/>
        <w:rPr>
          <w:rFonts w:cstheme="minorHAnsi"/>
          <w:iCs/>
          <w:sz w:val="24"/>
          <w:szCs w:val="24"/>
        </w:rPr>
      </w:pPr>
      <w:r w:rsidRPr="00946E97">
        <w:rPr>
          <w:rFonts w:cstheme="minorHAnsi"/>
          <w:b/>
          <w:i/>
          <w:iCs/>
          <w:sz w:val="24"/>
          <w:szCs w:val="24"/>
        </w:rPr>
        <w:t>Recommendation</w:t>
      </w:r>
      <w:r w:rsidR="003D749E" w:rsidRPr="00946E97">
        <w:rPr>
          <w:rFonts w:cstheme="minorHAnsi"/>
          <w:b/>
          <w:i/>
          <w:iCs/>
          <w:sz w:val="24"/>
          <w:szCs w:val="24"/>
        </w:rPr>
        <w:t>:</w:t>
      </w:r>
      <w:r w:rsidR="003D749E" w:rsidRPr="00946E97">
        <w:rPr>
          <w:rFonts w:cstheme="minorHAnsi"/>
          <w:b/>
          <w:iCs/>
          <w:sz w:val="24"/>
          <w:szCs w:val="24"/>
        </w:rPr>
        <w:t xml:space="preserve"> </w:t>
      </w:r>
      <w:r w:rsidR="00B018D7" w:rsidRPr="00946E97">
        <w:rPr>
          <w:rFonts w:cstheme="minorHAnsi"/>
          <w:iCs/>
          <w:sz w:val="24"/>
          <w:szCs w:val="24"/>
        </w:rPr>
        <w:t xml:space="preserve">The </w:t>
      </w:r>
      <w:r w:rsidR="00385172" w:rsidRPr="00946E97">
        <w:rPr>
          <w:rFonts w:cstheme="minorHAnsi"/>
          <w:iCs/>
          <w:sz w:val="24"/>
          <w:szCs w:val="24"/>
        </w:rPr>
        <w:t>interpretation of personal information</w:t>
      </w:r>
      <w:r w:rsidR="00F73E35">
        <w:rPr>
          <w:rFonts w:cstheme="minorHAnsi"/>
          <w:iCs/>
          <w:sz w:val="24"/>
          <w:szCs w:val="24"/>
        </w:rPr>
        <w:t xml:space="preserve"> can</w:t>
      </w:r>
      <w:r w:rsidR="00B018D7" w:rsidRPr="00946E97">
        <w:rPr>
          <w:rFonts w:cstheme="minorHAnsi"/>
          <w:iCs/>
          <w:sz w:val="24"/>
          <w:szCs w:val="24"/>
        </w:rPr>
        <w:t xml:space="preserve"> include other subjective and objective elements of personal information as discussed above.</w:t>
      </w:r>
      <w:r w:rsidR="00B018D7" w:rsidRPr="00946E97">
        <w:rPr>
          <w:rFonts w:cstheme="minorHAnsi"/>
          <w:b/>
          <w:iCs/>
          <w:sz w:val="24"/>
          <w:szCs w:val="24"/>
        </w:rPr>
        <w:t xml:space="preserve"> </w:t>
      </w:r>
      <w:r w:rsidR="00B018D7" w:rsidRPr="00946E97">
        <w:rPr>
          <w:rFonts w:cstheme="minorHAnsi"/>
          <w:iCs/>
          <w:sz w:val="24"/>
          <w:szCs w:val="24"/>
        </w:rPr>
        <w:t>T</w:t>
      </w:r>
      <w:r w:rsidR="003D749E" w:rsidRPr="00946E97">
        <w:rPr>
          <w:rFonts w:cstheme="minorHAnsi"/>
          <w:iCs/>
          <w:sz w:val="24"/>
          <w:szCs w:val="24"/>
        </w:rPr>
        <w:t>he definition of personal inf</w:t>
      </w:r>
      <w:r w:rsidR="006F2091">
        <w:rPr>
          <w:rFonts w:cstheme="minorHAnsi"/>
          <w:iCs/>
          <w:sz w:val="24"/>
          <w:szCs w:val="24"/>
        </w:rPr>
        <w:t>ormation on health is expansive. T</w:t>
      </w:r>
      <w:r w:rsidR="003D749E" w:rsidRPr="00946E97">
        <w:rPr>
          <w:rFonts w:cstheme="minorHAnsi"/>
          <w:iCs/>
          <w:sz w:val="24"/>
          <w:szCs w:val="24"/>
        </w:rPr>
        <w:t xml:space="preserve">his </w:t>
      </w:r>
      <w:r w:rsidR="006F2091">
        <w:rPr>
          <w:rFonts w:cstheme="minorHAnsi"/>
          <w:iCs/>
          <w:sz w:val="24"/>
          <w:szCs w:val="24"/>
        </w:rPr>
        <w:t xml:space="preserve">interpretation must </w:t>
      </w:r>
      <w:r w:rsidR="003D749E" w:rsidRPr="00946E97">
        <w:rPr>
          <w:rFonts w:cstheme="minorHAnsi"/>
          <w:iCs/>
          <w:sz w:val="24"/>
          <w:szCs w:val="24"/>
        </w:rPr>
        <w:t xml:space="preserve">be carried forward for defining sensitive data. Further the definition of health personal information can be expanded to include the provision of health care services, which reveal information about </w:t>
      </w:r>
      <w:r w:rsidR="006F2091">
        <w:rPr>
          <w:rFonts w:cstheme="minorHAnsi"/>
          <w:iCs/>
          <w:sz w:val="24"/>
          <w:szCs w:val="24"/>
        </w:rPr>
        <w:t>one’s</w:t>
      </w:r>
      <w:r w:rsidR="003D749E" w:rsidRPr="00946E97">
        <w:rPr>
          <w:rFonts w:cstheme="minorHAnsi"/>
          <w:iCs/>
          <w:sz w:val="24"/>
          <w:szCs w:val="24"/>
        </w:rPr>
        <w:t xml:space="preserve"> health status</w:t>
      </w:r>
      <w:r w:rsidR="00670F6A" w:rsidRPr="00946E97">
        <w:rPr>
          <w:rFonts w:cstheme="minorHAnsi"/>
          <w:iCs/>
          <w:sz w:val="24"/>
          <w:szCs w:val="24"/>
        </w:rPr>
        <w:t xml:space="preserve">. </w:t>
      </w:r>
    </w:p>
    <w:p w14:paraId="4D6AA6A3" w14:textId="77777777" w:rsidR="0016771B" w:rsidRPr="00946E97" w:rsidRDefault="00385172" w:rsidP="00D439AE">
      <w:pPr>
        <w:jc w:val="both"/>
        <w:rPr>
          <w:rFonts w:cstheme="minorHAnsi"/>
          <w:iCs/>
          <w:sz w:val="24"/>
          <w:szCs w:val="24"/>
        </w:rPr>
      </w:pPr>
      <w:r w:rsidRPr="00946E97">
        <w:rPr>
          <w:rFonts w:cstheme="minorHAnsi"/>
          <w:iCs/>
          <w:sz w:val="24"/>
          <w:szCs w:val="24"/>
        </w:rPr>
        <w:t xml:space="preserve">Unique identifier should mean any identifier that is assigned to a data subject and is used by a responsible party for the purposes of the operations of that responsible party and that uniquely identifies that data subject in relation to that responsible party. The responsible party would be in genetics be, the hospital or medical laboratory. This use of unique patient identifiers in processing of health data contributes to safeguards. </w:t>
      </w:r>
      <w:r w:rsidR="00076CD4">
        <w:rPr>
          <w:rFonts w:cstheme="minorHAnsi"/>
          <w:iCs/>
          <w:sz w:val="24"/>
          <w:szCs w:val="24"/>
        </w:rPr>
        <w:t>M</w:t>
      </w:r>
      <w:r w:rsidRPr="00946E97">
        <w:rPr>
          <w:rFonts w:cstheme="minorHAnsi"/>
          <w:iCs/>
          <w:sz w:val="24"/>
          <w:szCs w:val="24"/>
        </w:rPr>
        <w:t>edical data</w:t>
      </w:r>
      <w:r w:rsidR="00076CD4">
        <w:rPr>
          <w:rFonts w:cstheme="minorHAnsi"/>
          <w:iCs/>
          <w:sz w:val="24"/>
          <w:szCs w:val="24"/>
        </w:rPr>
        <w:t xml:space="preserve"> is easily </w:t>
      </w:r>
      <w:r w:rsidR="00D02BE4">
        <w:rPr>
          <w:rFonts w:cstheme="minorHAnsi"/>
          <w:iCs/>
          <w:sz w:val="24"/>
          <w:szCs w:val="24"/>
        </w:rPr>
        <w:t>transferred across borders. T</w:t>
      </w:r>
      <w:r w:rsidRPr="00946E97">
        <w:rPr>
          <w:rFonts w:cstheme="minorHAnsi"/>
          <w:iCs/>
          <w:sz w:val="24"/>
          <w:szCs w:val="24"/>
        </w:rPr>
        <w:t>hese appr</w:t>
      </w:r>
      <w:r w:rsidR="00D02BE4">
        <w:rPr>
          <w:rFonts w:cstheme="minorHAnsi"/>
          <w:iCs/>
          <w:sz w:val="24"/>
          <w:szCs w:val="24"/>
        </w:rPr>
        <w:t xml:space="preserve">oaches will </w:t>
      </w:r>
      <w:r w:rsidRPr="00946E97">
        <w:rPr>
          <w:rFonts w:cstheme="minorHAnsi"/>
          <w:iCs/>
          <w:sz w:val="24"/>
          <w:szCs w:val="24"/>
        </w:rPr>
        <w:t>safeguard sensitive data.</w:t>
      </w:r>
    </w:p>
    <w:p w14:paraId="0F878BFE" w14:textId="77777777" w:rsidR="008C2B3B" w:rsidRPr="00946E97" w:rsidRDefault="006F1C1E" w:rsidP="00D439AE">
      <w:pPr>
        <w:pStyle w:val="Heading2"/>
        <w:jc w:val="both"/>
        <w:rPr>
          <w:rFonts w:cstheme="minorHAnsi"/>
          <w:szCs w:val="24"/>
        </w:rPr>
      </w:pPr>
      <w:bookmarkStart w:id="6" w:name="_Toc43374608"/>
      <w:r w:rsidRPr="00946E97">
        <w:rPr>
          <w:rFonts w:cstheme="minorHAnsi"/>
          <w:szCs w:val="24"/>
        </w:rPr>
        <w:t>Part II</w:t>
      </w:r>
      <w:bookmarkEnd w:id="6"/>
    </w:p>
    <w:p w14:paraId="5E123B68" w14:textId="77777777" w:rsidR="008C2B3B" w:rsidRPr="005A1CAD" w:rsidRDefault="008C2B3B" w:rsidP="005A1CAD">
      <w:pPr>
        <w:pStyle w:val="ListParagraph"/>
        <w:numPr>
          <w:ilvl w:val="0"/>
          <w:numId w:val="9"/>
        </w:numPr>
        <w:jc w:val="both"/>
        <w:rPr>
          <w:rFonts w:cstheme="minorHAnsi"/>
          <w:b/>
          <w:sz w:val="24"/>
          <w:szCs w:val="24"/>
        </w:rPr>
      </w:pPr>
      <w:r w:rsidRPr="005A1CAD">
        <w:rPr>
          <w:rFonts w:cstheme="minorHAnsi"/>
          <w:b/>
          <w:sz w:val="24"/>
          <w:szCs w:val="24"/>
        </w:rPr>
        <w:t>Cyber Security Centre</w:t>
      </w:r>
    </w:p>
    <w:p w14:paraId="7C7DDE18" w14:textId="77777777" w:rsidR="006F1C1E" w:rsidRPr="00946E97" w:rsidRDefault="006F1C1E" w:rsidP="00D439AE">
      <w:pPr>
        <w:jc w:val="both"/>
        <w:rPr>
          <w:rFonts w:cstheme="minorHAnsi"/>
          <w:iCs/>
          <w:sz w:val="24"/>
          <w:szCs w:val="24"/>
        </w:rPr>
      </w:pPr>
      <w:r w:rsidRPr="00946E97">
        <w:rPr>
          <w:rFonts w:cstheme="minorHAnsi"/>
          <w:b/>
          <w:i/>
          <w:iCs/>
          <w:sz w:val="24"/>
          <w:szCs w:val="24"/>
        </w:rPr>
        <w:t>Issue</w:t>
      </w:r>
      <w:r w:rsidRPr="00946E97">
        <w:rPr>
          <w:rFonts w:cstheme="minorHAnsi"/>
          <w:iCs/>
          <w:sz w:val="24"/>
          <w:szCs w:val="24"/>
        </w:rPr>
        <w:t xml:space="preserve">: </w:t>
      </w:r>
      <w:r w:rsidR="007D4C98">
        <w:rPr>
          <w:rFonts w:cstheme="minorHAnsi"/>
          <w:iCs/>
          <w:sz w:val="24"/>
          <w:szCs w:val="24"/>
        </w:rPr>
        <w:t>S</w:t>
      </w:r>
      <w:r w:rsidRPr="00946E97">
        <w:rPr>
          <w:rFonts w:cstheme="minorHAnsi"/>
          <w:iCs/>
          <w:sz w:val="24"/>
          <w:szCs w:val="24"/>
        </w:rPr>
        <w:t>ection 5</w:t>
      </w:r>
      <w:r w:rsidR="00BC1279">
        <w:rPr>
          <w:rFonts w:cstheme="minorHAnsi"/>
          <w:iCs/>
          <w:sz w:val="24"/>
          <w:szCs w:val="24"/>
        </w:rPr>
        <w:t>-6</w:t>
      </w:r>
      <w:r w:rsidRPr="00946E97">
        <w:rPr>
          <w:rFonts w:cstheme="minorHAnsi"/>
          <w:iCs/>
          <w:sz w:val="24"/>
          <w:szCs w:val="24"/>
        </w:rPr>
        <w:t xml:space="preserve"> establishes the Cyber Security Centre </w:t>
      </w:r>
      <w:r w:rsidR="00BC1279">
        <w:rPr>
          <w:rFonts w:cstheme="minorHAnsi"/>
          <w:iCs/>
          <w:sz w:val="24"/>
          <w:szCs w:val="24"/>
        </w:rPr>
        <w:t xml:space="preserve">and its </w:t>
      </w:r>
      <w:r w:rsidRPr="00946E97">
        <w:rPr>
          <w:rFonts w:cstheme="minorHAnsi"/>
          <w:iCs/>
          <w:sz w:val="24"/>
          <w:szCs w:val="24"/>
        </w:rPr>
        <w:t xml:space="preserve">mandate </w:t>
      </w:r>
      <w:r w:rsidR="00BC1279">
        <w:rPr>
          <w:rFonts w:cstheme="minorHAnsi"/>
          <w:iCs/>
          <w:sz w:val="24"/>
          <w:szCs w:val="24"/>
        </w:rPr>
        <w:t>respectively</w:t>
      </w:r>
      <w:r w:rsidR="007D4C98">
        <w:rPr>
          <w:rFonts w:cstheme="minorHAnsi"/>
          <w:iCs/>
          <w:sz w:val="24"/>
          <w:szCs w:val="24"/>
        </w:rPr>
        <w:t>.</w:t>
      </w:r>
    </w:p>
    <w:p w14:paraId="03BE2C58" w14:textId="77777777" w:rsidR="002C35AD" w:rsidRPr="00946E97" w:rsidRDefault="00E36A71" w:rsidP="00D439AE">
      <w:pPr>
        <w:jc w:val="both"/>
        <w:rPr>
          <w:rFonts w:cstheme="minorHAnsi"/>
          <w:iCs/>
          <w:sz w:val="24"/>
          <w:szCs w:val="24"/>
          <w:lang w:val="en-ZA"/>
        </w:rPr>
      </w:pPr>
      <w:r w:rsidRPr="00946E97">
        <w:rPr>
          <w:rFonts w:cstheme="minorHAnsi"/>
          <w:b/>
          <w:i/>
          <w:iCs/>
          <w:sz w:val="24"/>
          <w:szCs w:val="24"/>
        </w:rPr>
        <w:t>Discussion</w:t>
      </w:r>
      <w:r w:rsidR="00E336D4" w:rsidRPr="00946E97">
        <w:rPr>
          <w:rFonts w:cstheme="minorHAnsi"/>
          <w:b/>
          <w:i/>
          <w:iCs/>
          <w:sz w:val="24"/>
          <w:szCs w:val="24"/>
        </w:rPr>
        <w:t xml:space="preserve">: </w:t>
      </w:r>
      <w:r w:rsidR="0080495F" w:rsidRPr="00946E97">
        <w:rPr>
          <w:rFonts w:cstheme="minorHAnsi"/>
          <w:iCs/>
          <w:sz w:val="24"/>
          <w:szCs w:val="24"/>
          <w:lang w:val="en-ZA"/>
        </w:rPr>
        <w:t xml:space="preserve">POTRAZ is </w:t>
      </w:r>
      <w:r w:rsidR="009220EE">
        <w:rPr>
          <w:rFonts w:cstheme="minorHAnsi"/>
          <w:iCs/>
          <w:sz w:val="24"/>
          <w:szCs w:val="24"/>
          <w:lang w:val="en-ZA"/>
        </w:rPr>
        <w:t>established by</w:t>
      </w:r>
      <w:r w:rsidR="0080495F" w:rsidRPr="00946E97">
        <w:rPr>
          <w:rFonts w:cstheme="minorHAnsi"/>
          <w:iCs/>
          <w:sz w:val="24"/>
          <w:szCs w:val="24"/>
          <w:lang w:val="en-ZA"/>
        </w:rPr>
        <w:t xml:space="preserve"> the Postal Telecommunications Act</w:t>
      </w:r>
      <w:r w:rsidR="00CC2594">
        <w:rPr>
          <w:rFonts w:cstheme="minorHAnsi"/>
          <w:iCs/>
          <w:sz w:val="24"/>
          <w:szCs w:val="24"/>
          <w:lang w:val="en-ZA"/>
        </w:rPr>
        <w:t xml:space="preserve"> (PTA)</w:t>
      </w:r>
      <w:r w:rsidR="0080495F" w:rsidRPr="00946E97">
        <w:rPr>
          <w:rFonts w:cstheme="minorHAnsi"/>
          <w:iCs/>
          <w:sz w:val="24"/>
          <w:szCs w:val="24"/>
          <w:lang w:val="en-ZA"/>
        </w:rPr>
        <w:t xml:space="preserve">. </w:t>
      </w:r>
      <w:r w:rsidR="0085249F">
        <w:rPr>
          <w:rFonts w:cstheme="minorHAnsi"/>
          <w:iCs/>
          <w:sz w:val="24"/>
          <w:szCs w:val="24"/>
          <w:lang w:val="en-ZA"/>
        </w:rPr>
        <w:t xml:space="preserve">Under the Bill, </w:t>
      </w:r>
      <w:r w:rsidR="0080495F" w:rsidRPr="00946E97">
        <w:rPr>
          <w:rFonts w:cstheme="minorHAnsi"/>
          <w:iCs/>
          <w:sz w:val="24"/>
          <w:szCs w:val="24"/>
          <w:lang w:val="en-ZA"/>
        </w:rPr>
        <w:t>POTRAZ will advise government on cybersecurity and policy</w:t>
      </w:r>
      <w:r w:rsidR="00DB6639">
        <w:rPr>
          <w:rFonts w:cstheme="minorHAnsi"/>
          <w:iCs/>
          <w:sz w:val="24"/>
          <w:szCs w:val="24"/>
          <w:lang w:val="en-ZA"/>
        </w:rPr>
        <w:t>,</w:t>
      </w:r>
      <w:r w:rsidR="0080495F" w:rsidRPr="00946E97">
        <w:rPr>
          <w:rFonts w:cstheme="minorHAnsi"/>
          <w:iCs/>
          <w:sz w:val="24"/>
          <w:szCs w:val="24"/>
          <w:lang w:val="en-ZA"/>
        </w:rPr>
        <w:t xml:space="preserve"> on cybercrime and establish a computer emergence response</w:t>
      </w:r>
      <w:r w:rsidR="00DB6639">
        <w:rPr>
          <w:rFonts w:cstheme="minorHAnsi"/>
          <w:iCs/>
          <w:sz w:val="24"/>
          <w:szCs w:val="24"/>
          <w:lang w:val="en-ZA"/>
        </w:rPr>
        <w:t xml:space="preserve"> team (CERT) or national contact point</w:t>
      </w:r>
      <w:r w:rsidR="0080495F" w:rsidRPr="00946E97">
        <w:rPr>
          <w:rFonts w:cstheme="minorHAnsi"/>
          <w:iCs/>
          <w:sz w:val="24"/>
          <w:szCs w:val="24"/>
          <w:lang w:val="en-ZA"/>
        </w:rPr>
        <w:t xml:space="preserve"> among other functions of coordination among stakeholders, development of whistle blower protection system, policy advice to the Minister including on legal framework governing cyber security matters and oversee the enforcement of the Act with due regard to fundamental human rights and freedoms. </w:t>
      </w:r>
    </w:p>
    <w:p w14:paraId="31B7D58E" w14:textId="77777777" w:rsidR="00BB7B4E" w:rsidRPr="00946E97" w:rsidRDefault="0080495F" w:rsidP="00D439AE">
      <w:pPr>
        <w:jc w:val="both"/>
        <w:rPr>
          <w:rFonts w:cstheme="minorHAnsi"/>
          <w:iCs/>
          <w:sz w:val="24"/>
          <w:szCs w:val="24"/>
          <w:lang w:val="en-ZA"/>
        </w:rPr>
      </w:pPr>
      <w:r w:rsidRPr="00946E97">
        <w:rPr>
          <w:rFonts w:cstheme="minorHAnsi"/>
          <w:iCs/>
          <w:sz w:val="24"/>
          <w:szCs w:val="24"/>
          <w:lang w:val="en-ZA"/>
        </w:rPr>
        <w:t>The mandate a</w:t>
      </w:r>
      <w:r w:rsidR="002C35AD" w:rsidRPr="00946E97">
        <w:rPr>
          <w:rFonts w:cstheme="minorHAnsi"/>
          <w:iCs/>
          <w:sz w:val="24"/>
          <w:szCs w:val="24"/>
          <w:lang w:val="en-ZA"/>
        </w:rPr>
        <w:t>nd responsibilities of POTRAZ are</w:t>
      </w:r>
      <w:r w:rsidRPr="00946E97">
        <w:rPr>
          <w:rFonts w:cstheme="minorHAnsi"/>
          <w:iCs/>
          <w:sz w:val="24"/>
          <w:szCs w:val="24"/>
          <w:lang w:val="en-ZA"/>
        </w:rPr>
        <w:t xml:space="preserve"> already wide under the original enabling Act, the P</w:t>
      </w:r>
      <w:r w:rsidR="00DB6639">
        <w:rPr>
          <w:rFonts w:cstheme="minorHAnsi"/>
          <w:iCs/>
          <w:sz w:val="24"/>
          <w:szCs w:val="24"/>
          <w:lang w:val="en-ZA"/>
        </w:rPr>
        <w:t>TA</w:t>
      </w:r>
      <w:r w:rsidRPr="00946E97">
        <w:rPr>
          <w:rFonts w:cstheme="minorHAnsi"/>
          <w:iCs/>
          <w:sz w:val="24"/>
          <w:szCs w:val="24"/>
          <w:lang w:val="en-ZA"/>
        </w:rPr>
        <w:t>. These add</w:t>
      </w:r>
      <w:r w:rsidR="002C35AD" w:rsidRPr="00946E97">
        <w:rPr>
          <w:rFonts w:cstheme="minorHAnsi"/>
          <w:iCs/>
          <w:sz w:val="24"/>
          <w:szCs w:val="24"/>
          <w:lang w:val="en-ZA"/>
        </w:rPr>
        <w:t>ed</w:t>
      </w:r>
      <w:r w:rsidRPr="00946E97">
        <w:rPr>
          <w:rFonts w:cstheme="minorHAnsi"/>
          <w:iCs/>
          <w:sz w:val="24"/>
          <w:szCs w:val="24"/>
          <w:lang w:val="en-ZA"/>
        </w:rPr>
        <w:t xml:space="preserve"> powers will make this a super</w:t>
      </w:r>
      <w:r w:rsidR="00DB6639">
        <w:rPr>
          <w:rFonts w:cstheme="minorHAnsi"/>
          <w:iCs/>
          <w:sz w:val="24"/>
          <w:szCs w:val="24"/>
          <w:lang w:val="en-ZA"/>
        </w:rPr>
        <w:t>-executive</w:t>
      </w:r>
      <w:r w:rsidRPr="00946E97">
        <w:rPr>
          <w:rFonts w:cstheme="minorHAnsi"/>
          <w:iCs/>
          <w:sz w:val="24"/>
          <w:szCs w:val="24"/>
          <w:lang w:val="en-ZA"/>
        </w:rPr>
        <w:t xml:space="preserve"> institution, </w:t>
      </w:r>
      <w:r w:rsidR="00DB6639">
        <w:rPr>
          <w:rFonts w:cstheme="minorHAnsi"/>
          <w:iCs/>
          <w:sz w:val="24"/>
          <w:szCs w:val="24"/>
          <w:lang w:val="en-ZA"/>
        </w:rPr>
        <w:t>with limited independent oversight. POTRAZ under the PTA</w:t>
      </w:r>
      <w:r w:rsidRPr="00946E97">
        <w:rPr>
          <w:rFonts w:cstheme="minorHAnsi"/>
          <w:iCs/>
          <w:sz w:val="24"/>
          <w:szCs w:val="24"/>
          <w:lang w:val="en-ZA"/>
        </w:rPr>
        <w:t xml:space="preserve"> reports to the Minister, and no one else.</w:t>
      </w:r>
      <w:r w:rsidR="00DB6639">
        <w:rPr>
          <w:rFonts w:cstheme="minorHAnsi"/>
          <w:iCs/>
          <w:sz w:val="24"/>
          <w:szCs w:val="24"/>
          <w:lang w:val="en-ZA"/>
        </w:rPr>
        <w:t xml:space="preserve"> Additional mandate will report to the Minister</w:t>
      </w:r>
      <w:r w:rsidR="00F42D80">
        <w:rPr>
          <w:rFonts w:cstheme="minorHAnsi"/>
          <w:iCs/>
          <w:sz w:val="24"/>
          <w:szCs w:val="24"/>
          <w:lang w:val="en-ZA"/>
        </w:rPr>
        <w:t xml:space="preserve"> as well</w:t>
      </w:r>
      <w:r w:rsidR="00DB6639">
        <w:rPr>
          <w:rFonts w:cstheme="minorHAnsi"/>
          <w:iCs/>
          <w:sz w:val="24"/>
          <w:szCs w:val="24"/>
          <w:lang w:val="en-ZA"/>
        </w:rPr>
        <w:t>.</w:t>
      </w:r>
    </w:p>
    <w:p w14:paraId="74887B27" w14:textId="77777777" w:rsidR="00E36A71" w:rsidRPr="00946E97" w:rsidRDefault="00E36A71" w:rsidP="00D439AE">
      <w:pPr>
        <w:jc w:val="both"/>
        <w:rPr>
          <w:rFonts w:cstheme="minorHAnsi"/>
          <w:iCs/>
          <w:sz w:val="24"/>
          <w:szCs w:val="24"/>
        </w:rPr>
      </w:pPr>
      <w:r w:rsidRPr="00946E97">
        <w:rPr>
          <w:rFonts w:cstheme="minorHAnsi"/>
          <w:b/>
          <w:i/>
          <w:iCs/>
          <w:sz w:val="24"/>
          <w:szCs w:val="24"/>
        </w:rPr>
        <w:t>Recommendation</w:t>
      </w:r>
      <w:r w:rsidR="002C35AD" w:rsidRPr="00946E97">
        <w:rPr>
          <w:rFonts w:cstheme="minorHAnsi"/>
          <w:b/>
          <w:i/>
          <w:iCs/>
          <w:sz w:val="24"/>
          <w:szCs w:val="24"/>
        </w:rPr>
        <w:t>:</w:t>
      </w:r>
      <w:r w:rsidR="002C35AD" w:rsidRPr="00946E97">
        <w:rPr>
          <w:rFonts w:cstheme="minorHAnsi"/>
          <w:iCs/>
          <w:sz w:val="24"/>
          <w:szCs w:val="24"/>
        </w:rPr>
        <w:t xml:space="preserve"> the </w:t>
      </w:r>
      <w:r w:rsidR="00FB69B0" w:rsidRPr="00946E97">
        <w:rPr>
          <w:rFonts w:cstheme="minorHAnsi"/>
          <w:iCs/>
          <w:sz w:val="24"/>
          <w:szCs w:val="24"/>
        </w:rPr>
        <w:t>setting up of Cyber Security Centre and public designation of an institution is</w:t>
      </w:r>
      <w:r w:rsidR="0085249F">
        <w:rPr>
          <w:rFonts w:cstheme="minorHAnsi"/>
          <w:iCs/>
          <w:sz w:val="24"/>
          <w:szCs w:val="24"/>
        </w:rPr>
        <w:t xml:space="preserve"> commendable.</w:t>
      </w:r>
      <w:r w:rsidR="002D4D30">
        <w:rPr>
          <w:rStyle w:val="FootnoteReference"/>
          <w:rFonts w:cstheme="minorHAnsi"/>
          <w:iCs/>
          <w:sz w:val="24"/>
          <w:szCs w:val="24"/>
        </w:rPr>
        <w:footnoteReference w:id="5"/>
      </w:r>
      <w:r w:rsidR="0085249F">
        <w:rPr>
          <w:rFonts w:cstheme="minorHAnsi"/>
          <w:iCs/>
          <w:sz w:val="24"/>
          <w:szCs w:val="24"/>
        </w:rPr>
        <w:t xml:space="preserve"> </w:t>
      </w:r>
      <w:r w:rsidR="00190FDF" w:rsidRPr="00946E97">
        <w:rPr>
          <w:rFonts w:cstheme="minorHAnsi"/>
          <w:iCs/>
          <w:sz w:val="24"/>
          <w:szCs w:val="24"/>
        </w:rPr>
        <w:t>The recommendation wil</w:t>
      </w:r>
      <w:r w:rsidR="008373DC">
        <w:rPr>
          <w:rFonts w:cstheme="minorHAnsi"/>
          <w:iCs/>
          <w:sz w:val="24"/>
          <w:szCs w:val="24"/>
        </w:rPr>
        <w:t>l be</w:t>
      </w:r>
      <w:r w:rsidR="00190FDF" w:rsidRPr="00946E97">
        <w:rPr>
          <w:rFonts w:cstheme="minorHAnsi"/>
          <w:iCs/>
          <w:sz w:val="24"/>
          <w:szCs w:val="24"/>
        </w:rPr>
        <w:t xml:space="preserve"> a separate institution to be set up</w:t>
      </w:r>
      <w:r w:rsidR="008373DC">
        <w:rPr>
          <w:rFonts w:cstheme="minorHAnsi"/>
          <w:iCs/>
          <w:sz w:val="24"/>
          <w:szCs w:val="24"/>
        </w:rPr>
        <w:t xml:space="preserve"> for Cyber Security Centre. H</w:t>
      </w:r>
      <w:r w:rsidR="00190FDF" w:rsidRPr="00946E97">
        <w:rPr>
          <w:rFonts w:cstheme="minorHAnsi"/>
          <w:iCs/>
          <w:sz w:val="24"/>
          <w:szCs w:val="24"/>
        </w:rPr>
        <w:t>owever</w:t>
      </w:r>
      <w:r w:rsidR="008373DC">
        <w:rPr>
          <w:rFonts w:cstheme="minorHAnsi"/>
          <w:iCs/>
          <w:sz w:val="24"/>
          <w:szCs w:val="24"/>
        </w:rPr>
        <w:t>,</w:t>
      </w:r>
      <w:r w:rsidR="00190FDF" w:rsidRPr="00946E97">
        <w:rPr>
          <w:rFonts w:cstheme="minorHAnsi"/>
          <w:iCs/>
          <w:sz w:val="24"/>
          <w:szCs w:val="24"/>
        </w:rPr>
        <w:t xml:space="preserve"> if the Bill retains </w:t>
      </w:r>
      <w:r w:rsidR="002C35AD" w:rsidRPr="00946E97">
        <w:rPr>
          <w:rFonts w:cstheme="minorHAnsi"/>
          <w:iCs/>
          <w:sz w:val="24"/>
          <w:szCs w:val="24"/>
        </w:rPr>
        <w:t xml:space="preserve">POTRAZ </w:t>
      </w:r>
      <w:r w:rsidR="00190FDF" w:rsidRPr="00946E97">
        <w:rPr>
          <w:rFonts w:cstheme="minorHAnsi"/>
          <w:iCs/>
          <w:sz w:val="24"/>
          <w:szCs w:val="24"/>
        </w:rPr>
        <w:t xml:space="preserve">in this role then POTRAZ </w:t>
      </w:r>
      <w:r w:rsidR="00005D58" w:rsidRPr="00946E97">
        <w:rPr>
          <w:rFonts w:cstheme="minorHAnsi"/>
          <w:iCs/>
          <w:sz w:val="24"/>
          <w:szCs w:val="24"/>
        </w:rPr>
        <w:t xml:space="preserve">must </w:t>
      </w:r>
      <w:r w:rsidR="00190FDF" w:rsidRPr="00946E97">
        <w:rPr>
          <w:rFonts w:cstheme="minorHAnsi"/>
          <w:iCs/>
          <w:sz w:val="24"/>
          <w:szCs w:val="24"/>
        </w:rPr>
        <w:t>now report</w:t>
      </w:r>
      <w:r w:rsidR="00005D58" w:rsidRPr="00946E97">
        <w:rPr>
          <w:rFonts w:cstheme="minorHAnsi"/>
          <w:iCs/>
          <w:sz w:val="24"/>
          <w:szCs w:val="24"/>
        </w:rPr>
        <w:t xml:space="preserve"> and be</w:t>
      </w:r>
      <w:r w:rsidR="002C35AD" w:rsidRPr="00946E97">
        <w:rPr>
          <w:rFonts w:cstheme="minorHAnsi"/>
          <w:iCs/>
          <w:sz w:val="24"/>
          <w:szCs w:val="24"/>
        </w:rPr>
        <w:t xml:space="preserve"> accountable to Parliament</w:t>
      </w:r>
      <w:r w:rsidR="00005D58" w:rsidRPr="00946E97">
        <w:rPr>
          <w:rFonts w:cstheme="minorHAnsi"/>
          <w:iCs/>
          <w:sz w:val="24"/>
          <w:szCs w:val="24"/>
        </w:rPr>
        <w:t>. Its</w:t>
      </w:r>
      <w:r w:rsidR="002C35AD" w:rsidRPr="00946E97">
        <w:rPr>
          <w:rFonts w:cstheme="minorHAnsi"/>
          <w:iCs/>
          <w:sz w:val="24"/>
          <w:szCs w:val="24"/>
        </w:rPr>
        <w:t xml:space="preserve"> mandate </w:t>
      </w:r>
      <w:r w:rsidR="00005D58" w:rsidRPr="00946E97">
        <w:rPr>
          <w:rFonts w:cstheme="minorHAnsi"/>
          <w:iCs/>
          <w:sz w:val="24"/>
          <w:szCs w:val="24"/>
        </w:rPr>
        <w:t>and</w:t>
      </w:r>
      <w:r w:rsidR="002C35AD" w:rsidRPr="00946E97">
        <w:rPr>
          <w:rFonts w:cstheme="minorHAnsi"/>
          <w:iCs/>
          <w:sz w:val="24"/>
          <w:szCs w:val="24"/>
        </w:rPr>
        <w:t xml:space="preserve"> enforcement of </w:t>
      </w:r>
      <w:r w:rsidR="00005D58" w:rsidRPr="00946E97">
        <w:rPr>
          <w:rFonts w:cstheme="minorHAnsi"/>
          <w:iCs/>
          <w:sz w:val="24"/>
          <w:szCs w:val="24"/>
        </w:rPr>
        <w:t xml:space="preserve">human rights requires independent oversight and not </w:t>
      </w:r>
      <w:r w:rsidR="008373DC">
        <w:rPr>
          <w:rFonts w:cstheme="minorHAnsi"/>
          <w:iCs/>
          <w:sz w:val="24"/>
          <w:szCs w:val="24"/>
        </w:rPr>
        <w:t xml:space="preserve">the </w:t>
      </w:r>
      <w:r w:rsidR="00005D58" w:rsidRPr="00946E97">
        <w:rPr>
          <w:rFonts w:cstheme="minorHAnsi"/>
          <w:iCs/>
          <w:sz w:val="24"/>
          <w:szCs w:val="24"/>
        </w:rPr>
        <w:t>executive.</w:t>
      </w:r>
      <w:r w:rsidR="00190FDF" w:rsidRPr="00946E97">
        <w:rPr>
          <w:rFonts w:cstheme="minorHAnsi"/>
          <w:iCs/>
          <w:sz w:val="24"/>
          <w:szCs w:val="24"/>
        </w:rPr>
        <w:t xml:space="preserve"> </w:t>
      </w:r>
    </w:p>
    <w:p w14:paraId="32E98DD1" w14:textId="77777777" w:rsidR="008C2B3B" w:rsidRPr="00946E97" w:rsidRDefault="00065CF1" w:rsidP="00D439AE">
      <w:pPr>
        <w:pStyle w:val="Heading2"/>
        <w:jc w:val="both"/>
        <w:rPr>
          <w:rFonts w:cstheme="minorHAnsi"/>
          <w:szCs w:val="24"/>
        </w:rPr>
      </w:pPr>
      <w:bookmarkStart w:id="7" w:name="_Toc43374609"/>
      <w:r w:rsidRPr="00946E97">
        <w:rPr>
          <w:rFonts w:cstheme="minorHAnsi"/>
          <w:szCs w:val="24"/>
        </w:rPr>
        <w:t>Part III</w:t>
      </w:r>
      <w:bookmarkEnd w:id="7"/>
    </w:p>
    <w:p w14:paraId="44F24E23" w14:textId="77777777" w:rsidR="00C91725" w:rsidRPr="005A1CAD" w:rsidRDefault="00C91725" w:rsidP="005A1CAD">
      <w:pPr>
        <w:pStyle w:val="ListParagraph"/>
        <w:numPr>
          <w:ilvl w:val="0"/>
          <w:numId w:val="10"/>
        </w:numPr>
        <w:jc w:val="both"/>
        <w:rPr>
          <w:rFonts w:cstheme="minorHAnsi"/>
          <w:b/>
          <w:sz w:val="24"/>
          <w:szCs w:val="24"/>
        </w:rPr>
      </w:pPr>
      <w:r w:rsidRPr="005A1CAD">
        <w:rPr>
          <w:rFonts w:cstheme="minorHAnsi"/>
          <w:b/>
          <w:sz w:val="24"/>
          <w:szCs w:val="24"/>
        </w:rPr>
        <w:t>Data Protection Authority</w:t>
      </w:r>
    </w:p>
    <w:p w14:paraId="1EAC6BEF" w14:textId="77777777" w:rsidR="00FB69B0" w:rsidRPr="00946E97" w:rsidRDefault="00FB69B0" w:rsidP="00D439AE">
      <w:pPr>
        <w:jc w:val="both"/>
        <w:rPr>
          <w:rFonts w:cstheme="minorHAnsi"/>
          <w:iCs/>
          <w:sz w:val="24"/>
          <w:szCs w:val="24"/>
        </w:rPr>
      </w:pPr>
      <w:r w:rsidRPr="00946E97">
        <w:rPr>
          <w:rFonts w:cstheme="minorHAnsi"/>
          <w:b/>
          <w:i/>
          <w:iCs/>
          <w:sz w:val="24"/>
          <w:szCs w:val="24"/>
        </w:rPr>
        <w:lastRenderedPageBreak/>
        <w:t>Issue</w:t>
      </w:r>
      <w:r w:rsidR="006F0751" w:rsidRPr="00946E97">
        <w:rPr>
          <w:rFonts w:cstheme="minorHAnsi"/>
          <w:iCs/>
          <w:sz w:val="24"/>
          <w:szCs w:val="24"/>
        </w:rPr>
        <w:t xml:space="preserve">: </w:t>
      </w:r>
      <w:r w:rsidR="00F42D80">
        <w:rPr>
          <w:rFonts w:cstheme="minorHAnsi"/>
          <w:iCs/>
          <w:sz w:val="24"/>
          <w:szCs w:val="24"/>
        </w:rPr>
        <w:t>A</w:t>
      </w:r>
      <w:r w:rsidR="006F0751" w:rsidRPr="00946E97">
        <w:rPr>
          <w:rFonts w:cstheme="minorHAnsi"/>
          <w:iCs/>
          <w:sz w:val="24"/>
          <w:szCs w:val="24"/>
        </w:rPr>
        <w:t xml:space="preserve">ppointment of </w:t>
      </w:r>
      <w:r w:rsidR="00655C06">
        <w:rPr>
          <w:rFonts w:cstheme="minorHAnsi"/>
          <w:iCs/>
          <w:sz w:val="24"/>
          <w:szCs w:val="24"/>
        </w:rPr>
        <w:t>DPA/Authority</w:t>
      </w:r>
    </w:p>
    <w:p w14:paraId="57B573C8" w14:textId="77777777" w:rsidR="00FB69B0" w:rsidRPr="00946E97" w:rsidRDefault="00FD0FF5" w:rsidP="00D439AE">
      <w:pPr>
        <w:jc w:val="both"/>
        <w:rPr>
          <w:rFonts w:cstheme="minorHAnsi"/>
          <w:iCs/>
          <w:sz w:val="24"/>
          <w:szCs w:val="24"/>
          <w:lang w:val="en-ZA"/>
        </w:rPr>
      </w:pPr>
      <w:r w:rsidRPr="00946E97">
        <w:rPr>
          <w:rFonts w:cstheme="minorHAnsi"/>
          <w:b/>
          <w:i/>
          <w:iCs/>
          <w:sz w:val="24"/>
          <w:szCs w:val="24"/>
        </w:rPr>
        <w:t>Discussion</w:t>
      </w:r>
      <w:r w:rsidR="00FB69B0" w:rsidRPr="00946E97">
        <w:rPr>
          <w:rFonts w:cstheme="minorHAnsi"/>
          <w:iCs/>
          <w:sz w:val="24"/>
          <w:szCs w:val="24"/>
        </w:rPr>
        <w:t xml:space="preserve">: </w:t>
      </w:r>
      <w:r w:rsidR="0040365E">
        <w:rPr>
          <w:rFonts w:cstheme="minorHAnsi"/>
          <w:iCs/>
          <w:sz w:val="24"/>
          <w:szCs w:val="24"/>
          <w:lang w:val="en-ZA"/>
        </w:rPr>
        <w:t>The Bill designates POTRAZ as the</w:t>
      </w:r>
      <w:r w:rsidR="00655C06">
        <w:rPr>
          <w:rFonts w:cstheme="minorHAnsi"/>
          <w:iCs/>
          <w:sz w:val="24"/>
          <w:szCs w:val="24"/>
          <w:lang w:val="en-ZA"/>
        </w:rPr>
        <w:t xml:space="preserve"> DPA/Authority</w:t>
      </w:r>
      <w:r w:rsidR="00FB69B0" w:rsidRPr="00946E97">
        <w:rPr>
          <w:rFonts w:cstheme="minorHAnsi"/>
          <w:iCs/>
          <w:sz w:val="24"/>
          <w:szCs w:val="24"/>
          <w:lang w:val="en-ZA"/>
        </w:rPr>
        <w:t xml:space="preserve"> </w:t>
      </w:r>
      <w:r w:rsidR="0040365E">
        <w:rPr>
          <w:rFonts w:cstheme="minorHAnsi"/>
          <w:iCs/>
          <w:sz w:val="24"/>
          <w:szCs w:val="24"/>
          <w:lang w:val="en-ZA"/>
        </w:rPr>
        <w:t>under s</w:t>
      </w:r>
      <w:r w:rsidR="00FB69B0" w:rsidRPr="00946E97">
        <w:rPr>
          <w:rFonts w:cstheme="minorHAnsi"/>
          <w:iCs/>
          <w:sz w:val="24"/>
          <w:szCs w:val="24"/>
          <w:lang w:val="en-ZA"/>
        </w:rPr>
        <w:t xml:space="preserve">7, with the powers to perform wider </w:t>
      </w:r>
      <w:r w:rsidR="0040365E">
        <w:rPr>
          <w:rFonts w:cstheme="minorHAnsi"/>
          <w:iCs/>
          <w:sz w:val="24"/>
          <w:szCs w:val="24"/>
          <w:lang w:val="en-ZA"/>
        </w:rPr>
        <w:t>ranging functions under s</w:t>
      </w:r>
      <w:r w:rsidR="00FB69B0" w:rsidRPr="00946E97">
        <w:rPr>
          <w:rFonts w:cstheme="minorHAnsi"/>
          <w:iCs/>
          <w:sz w:val="24"/>
          <w:szCs w:val="24"/>
          <w:lang w:val="en-ZA"/>
        </w:rPr>
        <w:t>8. The Bill provides wide ranging powers to POTRAZ, an institution that already controls significant data, processed and or controlled by mobile network operators</w:t>
      </w:r>
      <w:r w:rsidR="00220BA6">
        <w:rPr>
          <w:rFonts w:cstheme="minorHAnsi"/>
          <w:iCs/>
          <w:sz w:val="24"/>
          <w:szCs w:val="24"/>
          <w:lang w:val="en-ZA"/>
        </w:rPr>
        <w:t xml:space="preserve"> (MNOs)</w:t>
      </w:r>
      <w:r w:rsidR="00FB69B0" w:rsidRPr="00946E97">
        <w:rPr>
          <w:rFonts w:cstheme="minorHAnsi"/>
          <w:iCs/>
          <w:sz w:val="24"/>
          <w:szCs w:val="24"/>
          <w:lang w:val="en-ZA"/>
        </w:rPr>
        <w:t>, internet service providers</w:t>
      </w:r>
      <w:r w:rsidR="00220BA6">
        <w:rPr>
          <w:rFonts w:cstheme="minorHAnsi"/>
          <w:iCs/>
          <w:sz w:val="24"/>
          <w:szCs w:val="24"/>
          <w:lang w:val="en-ZA"/>
        </w:rPr>
        <w:t xml:space="preserve"> (ISPs)</w:t>
      </w:r>
      <w:r w:rsidR="00FB69B0" w:rsidRPr="00946E97">
        <w:rPr>
          <w:rFonts w:cstheme="minorHAnsi"/>
          <w:iCs/>
          <w:sz w:val="24"/>
          <w:szCs w:val="24"/>
          <w:lang w:val="en-ZA"/>
        </w:rPr>
        <w:t>, and mobile money operators.</w:t>
      </w:r>
      <w:r w:rsidR="00DB579C">
        <w:rPr>
          <w:rStyle w:val="FootnoteReference"/>
          <w:rFonts w:cstheme="minorHAnsi"/>
          <w:iCs/>
          <w:sz w:val="24"/>
          <w:szCs w:val="24"/>
          <w:lang w:val="en-ZA"/>
        </w:rPr>
        <w:footnoteReference w:id="6"/>
      </w:r>
      <w:r w:rsidR="00FB69B0" w:rsidRPr="00946E97">
        <w:rPr>
          <w:rFonts w:cstheme="minorHAnsi"/>
          <w:iCs/>
          <w:sz w:val="24"/>
          <w:szCs w:val="24"/>
          <w:lang w:val="en-ZA"/>
        </w:rPr>
        <w:t xml:space="preserve"> </w:t>
      </w:r>
    </w:p>
    <w:p w14:paraId="6727B631" w14:textId="77777777" w:rsidR="006E5216" w:rsidRPr="00946E97" w:rsidRDefault="00122B3E" w:rsidP="00D439AE">
      <w:pPr>
        <w:jc w:val="both"/>
        <w:rPr>
          <w:rFonts w:cstheme="minorHAnsi"/>
          <w:iCs/>
          <w:sz w:val="24"/>
          <w:szCs w:val="24"/>
          <w:lang w:val="en-ZA"/>
        </w:rPr>
      </w:pPr>
      <w:r>
        <w:rPr>
          <w:rFonts w:cstheme="minorHAnsi"/>
          <w:iCs/>
          <w:sz w:val="24"/>
          <w:szCs w:val="24"/>
          <w:lang w:val="en-ZA"/>
        </w:rPr>
        <w:t xml:space="preserve">The powers under s </w:t>
      </w:r>
      <w:r w:rsidR="00FB69B0" w:rsidRPr="00946E97">
        <w:rPr>
          <w:rFonts w:cstheme="minorHAnsi"/>
          <w:iCs/>
          <w:sz w:val="24"/>
          <w:szCs w:val="24"/>
          <w:lang w:val="en-ZA"/>
        </w:rPr>
        <w:t xml:space="preserve">8 are very expansive and what will result is that POTRAZ will be a super-administrative body, and </w:t>
      </w:r>
      <w:r>
        <w:rPr>
          <w:rFonts w:cstheme="minorHAnsi"/>
          <w:iCs/>
          <w:sz w:val="24"/>
          <w:szCs w:val="24"/>
          <w:lang w:val="en-ZA"/>
        </w:rPr>
        <w:t xml:space="preserve">reporting to the executive, through the </w:t>
      </w:r>
      <w:r w:rsidR="00FB69B0" w:rsidRPr="00946E97">
        <w:rPr>
          <w:rFonts w:cstheme="minorHAnsi"/>
          <w:iCs/>
          <w:sz w:val="24"/>
          <w:szCs w:val="24"/>
          <w:lang w:val="en-ZA"/>
        </w:rPr>
        <w:t>Minister. The functions of the DPA includes providing policy advice to the Minister on constitutional rights issues on pri</w:t>
      </w:r>
      <w:r w:rsidR="001D05DA">
        <w:rPr>
          <w:rFonts w:cstheme="minorHAnsi"/>
          <w:iCs/>
          <w:sz w:val="24"/>
          <w:szCs w:val="24"/>
          <w:lang w:val="en-ZA"/>
        </w:rPr>
        <w:t>vacy and access to information.</w:t>
      </w:r>
      <w:r w:rsidR="00FB69B0" w:rsidRPr="00946E97">
        <w:rPr>
          <w:rFonts w:cstheme="minorHAnsi"/>
          <w:iCs/>
          <w:sz w:val="24"/>
          <w:szCs w:val="24"/>
          <w:lang w:val="en-ZA"/>
        </w:rPr>
        <w:t xml:space="preserve"> </w:t>
      </w:r>
      <w:r w:rsidR="007D57E8" w:rsidRPr="00946E97">
        <w:rPr>
          <w:rFonts w:cstheme="minorHAnsi"/>
          <w:iCs/>
          <w:sz w:val="24"/>
          <w:szCs w:val="24"/>
          <w:lang w:val="en-ZA"/>
        </w:rPr>
        <w:t>The DPA functions are the crux of data protection. A comparative analysis on the appointment process, competencies and removal will enable consideration of alternative framing of this provision.</w:t>
      </w:r>
      <w:r w:rsidR="00CF2DF3" w:rsidRPr="00946E97">
        <w:rPr>
          <w:rFonts w:cstheme="minorHAnsi"/>
          <w:iCs/>
          <w:sz w:val="24"/>
          <w:szCs w:val="24"/>
          <w:lang w:val="en-ZA"/>
        </w:rPr>
        <w:t xml:space="preserve"> </w:t>
      </w:r>
    </w:p>
    <w:p w14:paraId="79855D46" w14:textId="77777777" w:rsidR="00CF2DF3" w:rsidRPr="00946E97" w:rsidRDefault="00CF2DF3" w:rsidP="00D439AE">
      <w:pPr>
        <w:jc w:val="both"/>
        <w:rPr>
          <w:rFonts w:cstheme="minorHAnsi"/>
          <w:iCs/>
          <w:sz w:val="24"/>
          <w:szCs w:val="24"/>
          <w:lang w:val="en-ZA"/>
        </w:rPr>
      </w:pPr>
      <w:r w:rsidRPr="00946E97">
        <w:rPr>
          <w:rFonts w:cstheme="minorHAnsi"/>
          <w:iCs/>
          <w:sz w:val="24"/>
          <w:szCs w:val="24"/>
          <w:lang w:val="en-ZA"/>
        </w:rPr>
        <w:t xml:space="preserve">Section 8(2) grants functional autonomy to the Authority. In the lawful exercise of its functions, the Authority is not subject to the direction or control of any person or authority. This </w:t>
      </w:r>
      <w:r w:rsidR="00173728">
        <w:rPr>
          <w:rFonts w:cstheme="minorHAnsi"/>
          <w:iCs/>
          <w:sz w:val="24"/>
          <w:szCs w:val="24"/>
          <w:lang w:val="en-ZA"/>
        </w:rPr>
        <w:t>is noteworthy, but not sufficient. The</w:t>
      </w:r>
      <w:r w:rsidRPr="00946E97">
        <w:rPr>
          <w:rFonts w:cstheme="minorHAnsi"/>
          <w:iCs/>
          <w:sz w:val="24"/>
          <w:szCs w:val="24"/>
          <w:lang w:val="en-ZA"/>
        </w:rPr>
        <w:t xml:space="preserve"> composition of the Authority is determined by the executive.</w:t>
      </w:r>
      <w:r w:rsidRPr="00946E97">
        <w:rPr>
          <w:rStyle w:val="FootnoteReference"/>
          <w:rFonts w:cstheme="minorHAnsi"/>
          <w:iCs/>
          <w:sz w:val="24"/>
          <w:szCs w:val="24"/>
          <w:lang w:val="en-ZA"/>
        </w:rPr>
        <w:footnoteReference w:id="7"/>
      </w:r>
      <w:r w:rsidR="00DC422A">
        <w:rPr>
          <w:rFonts w:cstheme="minorHAnsi"/>
          <w:iCs/>
          <w:sz w:val="24"/>
          <w:szCs w:val="24"/>
          <w:lang w:val="en-ZA"/>
        </w:rPr>
        <w:t xml:space="preserve"> A quick review of the PTA establishing</w:t>
      </w:r>
      <w:r w:rsidR="006E5216" w:rsidRPr="00946E97">
        <w:rPr>
          <w:rFonts w:cstheme="minorHAnsi"/>
          <w:iCs/>
          <w:sz w:val="24"/>
          <w:szCs w:val="24"/>
          <w:lang w:val="en-ZA"/>
        </w:rPr>
        <w:t xml:space="preserve"> POTRAZ evidences </w:t>
      </w:r>
      <w:r w:rsidR="00DC422A">
        <w:rPr>
          <w:rFonts w:cstheme="minorHAnsi"/>
          <w:iCs/>
          <w:sz w:val="24"/>
          <w:szCs w:val="24"/>
          <w:lang w:val="en-ZA"/>
        </w:rPr>
        <w:t xml:space="preserve">an </w:t>
      </w:r>
      <w:r w:rsidR="006E5216" w:rsidRPr="00946E97">
        <w:rPr>
          <w:rFonts w:cstheme="minorHAnsi"/>
          <w:iCs/>
          <w:sz w:val="24"/>
          <w:szCs w:val="24"/>
          <w:lang w:val="en-ZA"/>
        </w:rPr>
        <w:t>exe</w:t>
      </w:r>
      <w:r w:rsidR="00DC422A">
        <w:rPr>
          <w:rFonts w:cstheme="minorHAnsi"/>
          <w:iCs/>
          <w:sz w:val="24"/>
          <w:szCs w:val="24"/>
          <w:lang w:val="en-ZA"/>
        </w:rPr>
        <w:t xml:space="preserve">cutive driven authority. This </w:t>
      </w:r>
      <w:r w:rsidR="006E5216" w:rsidRPr="00946E97">
        <w:rPr>
          <w:rFonts w:cstheme="minorHAnsi"/>
          <w:iCs/>
          <w:sz w:val="24"/>
          <w:szCs w:val="24"/>
          <w:lang w:val="en-ZA"/>
        </w:rPr>
        <w:t xml:space="preserve">undermines functional and operational independence. Section 4(3) of the </w:t>
      </w:r>
      <w:r w:rsidR="008109B7">
        <w:rPr>
          <w:rFonts w:cstheme="minorHAnsi"/>
          <w:iCs/>
          <w:sz w:val="24"/>
          <w:szCs w:val="24"/>
          <w:lang w:val="en-ZA"/>
        </w:rPr>
        <w:t xml:space="preserve">PTA </w:t>
      </w:r>
      <w:r w:rsidR="006E5216" w:rsidRPr="00946E97">
        <w:rPr>
          <w:rFonts w:cstheme="minorHAnsi"/>
          <w:iCs/>
          <w:sz w:val="24"/>
          <w:szCs w:val="24"/>
          <w:lang w:val="en-ZA"/>
        </w:rPr>
        <w:t xml:space="preserve">is verbatim s 8 (2) of the Bill. Despite this intent there are several provisions in the </w:t>
      </w:r>
      <w:r w:rsidR="008109B7">
        <w:rPr>
          <w:rFonts w:cstheme="minorHAnsi"/>
          <w:iCs/>
          <w:sz w:val="24"/>
          <w:szCs w:val="24"/>
          <w:lang w:val="en-ZA"/>
        </w:rPr>
        <w:t xml:space="preserve">PTA </w:t>
      </w:r>
      <w:r w:rsidR="006E5216" w:rsidRPr="00946E97">
        <w:rPr>
          <w:rFonts w:cstheme="minorHAnsi"/>
          <w:iCs/>
          <w:sz w:val="24"/>
          <w:szCs w:val="24"/>
          <w:lang w:val="en-ZA"/>
        </w:rPr>
        <w:t xml:space="preserve">that gives </w:t>
      </w:r>
      <w:r w:rsidR="008109B7">
        <w:rPr>
          <w:rFonts w:cstheme="minorHAnsi"/>
          <w:iCs/>
          <w:sz w:val="24"/>
          <w:szCs w:val="24"/>
          <w:lang w:val="en-ZA"/>
        </w:rPr>
        <w:t xml:space="preserve">the </w:t>
      </w:r>
      <w:r w:rsidR="006E5216" w:rsidRPr="00946E97">
        <w:rPr>
          <w:rFonts w:cstheme="minorHAnsi"/>
          <w:iCs/>
          <w:sz w:val="24"/>
          <w:szCs w:val="24"/>
          <w:lang w:val="en-ZA"/>
        </w:rPr>
        <w:t>minister powers</w:t>
      </w:r>
      <w:r w:rsidR="008109B7">
        <w:rPr>
          <w:rFonts w:cstheme="minorHAnsi"/>
          <w:iCs/>
          <w:sz w:val="24"/>
          <w:szCs w:val="24"/>
          <w:lang w:val="en-ZA"/>
        </w:rPr>
        <w:t xml:space="preserve"> to interfere; s </w:t>
      </w:r>
      <w:r w:rsidR="006E5216" w:rsidRPr="00946E97">
        <w:rPr>
          <w:rFonts w:cstheme="minorHAnsi"/>
          <w:iCs/>
          <w:sz w:val="24"/>
          <w:szCs w:val="24"/>
          <w:lang w:val="en-ZA"/>
        </w:rPr>
        <w:t xml:space="preserve">25 (1), minister issues policy directions on national interest, which the Board shall take all necessary measures to comply with, s 25 (3); </w:t>
      </w:r>
      <w:r w:rsidR="0081237F" w:rsidRPr="00946E97">
        <w:rPr>
          <w:rFonts w:cstheme="minorHAnsi"/>
          <w:iCs/>
          <w:sz w:val="24"/>
          <w:szCs w:val="24"/>
          <w:lang w:val="en-ZA"/>
        </w:rPr>
        <w:t>s 26 (1)</w:t>
      </w:r>
      <w:r w:rsidR="006A35F6" w:rsidRPr="00946E97">
        <w:rPr>
          <w:rFonts w:cstheme="minorHAnsi"/>
          <w:iCs/>
          <w:sz w:val="24"/>
          <w:szCs w:val="24"/>
          <w:lang w:val="en-ZA"/>
        </w:rPr>
        <w:t>-(2)</w:t>
      </w:r>
      <w:r w:rsidR="0081237F" w:rsidRPr="00946E97">
        <w:rPr>
          <w:rFonts w:cstheme="minorHAnsi"/>
          <w:iCs/>
          <w:sz w:val="24"/>
          <w:szCs w:val="24"/>
          <w:lang w:val="en-ZA"/>
        </w:rPr>
        <w:t xml:space="preserve">, minister may direct Board to </w:t>
      </w:r>
      <w:r w:rsidR="0081237F" w:rsidRPr="00946E97">
        <w:rPr>
          <w:rFonts w:cstheme="minorHAnsi"/>
          <w:iCs/>
          <w:sz w:val="24"/>
          <w:szCs w:val="24"/>
        </w:rPr>
        <w:t>reverse, suspend or rescind its decisions or actions</w:t>
      </w:r>
      <w:r w:rsidR="006A35F6" w:rsidRPr="00946E97">
        <w:rPr>
          <w:rFonts w:cstheme="minorHAnsi"/>
          <w:iCs/>
          <w:sz w:val="24"/>
          <w:szCs w:val="24"/>
        </w:rPr>
        <w:t>, after the minister consultations with President, that Board decision was not in the “national or public interest or the interests of consumers or licensees.”</w:t>
      </w:r>
      <w:r w:rsidR="00285A19">
        <w:rPr>
          <w:rFonts w:cstheme="minorHAnsi"/>
          <w:iCs/>
          <w:sz w:val="24"/>
          <w:szCs w:val="24"/>
          <w:lang w:val="en-ZA"/>
        </w:rPr>
        <w:t xml:space="preserve"> The PTA </w:t>
      </w:r>
      <w:r w:rsidR="0065237F">
        <w:rPr>
          <w:rFonts w:cstheme="minorHAnsi"/>
          <w:iCs/>
          <w:sz w:val="24"/>
          <w:szCs w:val="24"/>
          <w:lang w:val="en-ZA"/>
        </w:rPr>
        <w:t xml:space="preserve">establishing </w:t>
      </w:r>
      <w:r w:rsidR="00285A19">
        <w:rPr>
          <w:rFonts w:cstheme="minorHAnsi"/>
          <w:iCs/>
          <w:sz w:val="24"/>
          <w:szCs w:val="24"/>
          <w:lang w:val="en-ZA"/>
        </w:rPr>
        <w:t xml:space="preserve">POTRAZ as the Authority is littered with provisions obliterating </w:t>
      </w:r>
      <w:r w:rsidR="006A35F6" w:rsidRPr="00946E97">
        <w:rPr>
          <w:rFonts w:cstheme="minorHAnsi"/>
          <w:iCs/>
          <w:sz w:val="24"/>
          <w:szCs w:val="24"/>
          <w:lang w:val="en-ZA"/>
        </w:rPr>
        <w:t>functional and operational independence.</w:t>
      </w:r>
    </w:p>
    <w:p w14:paraId="0C5840B7" w14:textId="77777777" w:rsidR="005C5650" w:rsidRPr="00946E97" w:rsidRDefault="00134804" w:rsidP="00D439AE">
      <w:pPr>
        <w:jc w:val="both"/>
        <w:rPr>
          <w:rFonts w:cstheme="minorHAnsi"/>
          <w:iCs/>
          <w:sz w:val="24"/>
          <w:szCs w:val="24"/>
          <w:lang w:val="en-ZA"/>
        </w:rPr>
      </w:pPr>
      <w:r w:rsidRPr="00946E97">
        <w:rPr>
          <w:rFonts w:cstheme="minorHAnsi"/>
          <w:iCs/>
          <w:sz w:val="24"/>
          <w:szCs w:val="24"/>
          <w:lang w:val="en-ZA"/>
        </w:rPr>
        <w:t>For regional experiences, Kenya an</w:t>
      </w:r>
      <w:r w:rsidR="00B9412E">
        <w:rPr>
          <w:rFonts w:cstheme="minorHAnsi"/>
          <w:iCs/>
          <w:sz w:val="24"/>
          <w:szCs w:val="24"/>
          <w:lang w:val="en-ZA"/>
        </w:rPr>
        <w:t>d South Africa’s data laws are persuasive on how to appoint a DPA</w:t>
      </w:r>
      <w:r w:rsidRPr="00946E97">
        <w:rPr>
          <w:rFonts w:cstheme="minorHAnsi"/>
          <w:iCs/>
          <w:sz w:val="24"/>
          <w:szCs w:val="24"/>
          <w:lang w:val="en-ZA"/>
        </w:rPr>
        <w:t xml:space="preserve">. </w:t>
      </w:r>
      <w:r w:rsidR="00A416F3">
        <w:rPr>
          <w:rFonts w:cstheme="minorHAnsi"/>
          <w:iCs/>
          <w:sz w:val="24"/>
          <w:szCs w:val="24"/>
          <w:lang w:val="en-ZA"/>
        </w:rPr>
        <w:t>C</w:t>
      </w:r>
      <w:r w:rsidR="008829F6" w:rsidRPr="00946E97">
        <w:rPr>
          <w:rFonts w:cstheme="minorHAnsi"/>
          <w:iCs/>
          <w:sz w:val="24"/>
          <w:szCs w:val="24"/>
          <w:lang w:val="en-ZA"/>
        </w:rPr>
        <w:t>omparative jurisdictions have separate data commissioner (Kenya) or information regulator (South Africa)</w:t>
      </w:r>
      <w:r w:rsidR="00CB3414" w:rsidRPr="00946E97">
        <w:rPr>
          <w:rFonts w:cstheme="minorHAnsi"/>
          <w:iCs/>
          <w:sz w:val="24"/>
          <w:szCs w:val="24"/>
          <w:lang w:val="en-ZA"/>
        </w:rPr>
        <w:t xml:space="preserve">. </w:t>
      </w:r>
      <w:r w:rsidR="00E81458">
        <w:rPr>
          <w:rFonts w:cstheme="minorHAnsi"/>
          <w:iCs/>
          <w:sz w:val="24"/>
          <w:szCs w:val="24"/>
          <w:lang w:val="en-ZA"/>
        </w:rPr>
        <w:t xml:space="preserve">The </w:t>
      </w:r>
      <w:r w:rsidR="005C5650" w:rsidRPr="00946E97">
        <w:rPr>
          <w:rFonts w:cstheme="minorHAnsi"/>
          <w:iCs/>
          <w:sz w:val="24"/>
          <w:szCs w:val="24"/>
          <w:lang w:val="en-ZA"/>
        </w:rPr>
        <w:t xml:space="preserve">appointments involve </w:t>
      </w:r>
      <w:r w:rsidR="006C5556">
        <w:rPr>
          <w:rFonts w:cstheme="minorHAnsi"/>
          <w:iCs/>
          <w:sz w:val="24"/>
          <w:szCs w:val="24"/>
          <w:lang w:val="en-ZA"/>
        </w:rPr>
        <w:t>Parliament,</w:t>
      </w:r>
      <w:r w:rsidR="007D5753">
        <w:rPr>
          <w:rFonts w:cstheme="minorHAnsi"/>
          <w:iCs/>
          <w:sz w:val="24"/>
          <w:szCs w:val="24"/>
          <w:lang w:val="en-ZA"/>
        </w:rPr>
        <w:t xml:space="preserve"> </w:t>
      </w:r>
      <w:r w:rsidR="005C5650" w:rsidRPr="00946E97">
        <w:rPr>
          <w:rFonts w:cstheme="minorHAnsi"/>
          <w:iCs/>
          <w:sz w:val="24"/>
          <w:szCs w:val="24"/>
          <w:lang w:val="en-ZA"/>
        </w:rPr>
        <w:t>through nomin</w:t>
      </w:r>
      <w:r w:rsidR="00930066">
        <w:rPr>
          <w:rFonts w:cstheme="minorHAnsi"/>
          <w:iCs/>
          <w:sz w:val="24"/>
          <w:szCs w:val="24"/>
          <w:lang w:val="en-ZA"/>
        </w:rPr>
        <w:t xml:space="preserve">ation and interviews, and or </w:t>
      </w:r>
      <w:r w:rsidR="005C5650" w:rsidRPr="00946E97">
        <w:rPr>
          <w:rFonts w:cstheme="minorHAnsi"/>
          <w:iCs/>
          <w:sz w:val="24"/>
          <w:szCs w:val="24"/>
          <w:lang w:val="en-ZA"/>
        </w:rPr>
        <w:t>ratification of the final candidate submitted for executive nomination</w:t>
      </w:r>
      <w:r w:rsidR="00930066">
        <w:rPr>
          <w:rFonts w:cstheme="minorHAnsi"/>
          <w:iCs/>
          <w:sz w:val="24"/>
          <w:szCs w:val="24"/>
          <w:lang w:val="en-ZA"/>
        </w:rPr>
        <w:t xml:space="preserve">. These are </w:t>
      </w:r>
      <w:r w:rsidR="005C5650" w:rsidRPr="00946E97">
        <w:rPr>
          <w:rFonts w:cstheme="minorHAnsi"/>
          <w:iCs/>
          <w:sz w:val="24"/>
          <w:szCs w:val="24"/>
          <w:lang w:val="en-ZA"/>
        </w:rPr>
        <w:t>public process</w:t>
      </w:r>
      <w:r w:rsidR="00912A32">
        <w:rPr>
          <w:rFonts w:cstheme="minorHAnsi"/>
          <w:iCs/>
          <w:sz w:val="24"/>
          <w:szCs w:val="24"/>
          <w:lang w:val="en-ZA"/>
        </w:rPr>
        <w:t>es building data subjects</w:t>
      </w:r>
      <w:r w:rsidR="00D905FD">
        <w:rPr>
          <w:rFonts w:cstheme="minorHAnsi"/>
          <w:iCs/>
          <w:sz w:val="24"/>
          <w:szCs w:val="24"/>
          <w:lang w:val="en-ZA"/>
        </w:rPr>
        <w:t>’</w:t>
      </w:r>
      <w:r w:rsidR="00912A32">
        <w:rPr>
          <w:rFonts w:cstheme="minorHAnsi"/>
          <w:iCs/>
          <w:sz w:val="24"/>
          <w:szCs w:val="24"/>
          <w:lang w:val="en-ZA"/>
        </w:rPr>
        <w:t xml:space="preserve"> confidence.</w:t>
      </w:r>
      <w:r w:rsidR="005C5650" w:rsidRPr="00946E97">
        <w:rPr>
          <w:rFonts w:cstheme="minorHAnsi"/>
          <w:iCs/>
          <w:sz w:val="24"/>
          <w:szCs w:val="24"/>
          <w:lang w:val="en-ZA"/>
        </w:rPr>
        <w:t xml:space="preserve"> </w:t>
      </w:r>
    </w:p>
    <w:p w14:paraId="30B770BE" w14:textId="77777777" w:rsidR="00014FB6" w:rsidRPr="00946E97" w:rsidRDefault="00D905FD" w:rsidP="00D439AE">
      <w:pPr>
        <w:jc w:val="both"/>
        <w:rPr>
          <w:rFonts w:cstheme="minorHAnsi"/>
          <w:iCs/>
          <w:sz w:val="24"/>
          <w:szCs w:val="24"/>
          <w:lang w:val="en-ZA"/>
        </w:rPr>
      </w:pPr>
      <w:r>
        <w:rPr>
          <w:rFonts w:cstheme="minorHAnsi"/>
          <w:iCs/>
          <w:sz w:val="24"/>
          <w:szCs w:val="24"/>
          <w:lang w:val="en-ZA"/>
        </w:rPr>
        <w:t xml:space="preserve">In </w:t>
      </w:r>
      <w:r w:rsidR="00912A32">
        <w:rPr>
          <w:rFonts w:cstheme="minorHAnsi"/>
          <w:iCs/>
          <w:sz w:val="24"/>
          <w:szCs w:val="24"/>
          <w:lang w:val="en-ZA"/>
        </w:rPr>
        <w:t xml:space="preserve">Kenya, the </w:t>
      </w:r>
      <w:r w:rsidR="00CB3414" w:rsidRPr="00946E97">
        <w:rPr>
          <w:rFonts w:cstheme="minorHAnsi"/>
          <w:iCs/>
          <w:sz w:val="24"/>
          <w:szCs w:val="24"/>
          <w:lang w:val="en-ZA"/>
        </w:rPr>
        <w:t xml:space="preserve">data commissioner </w:t>
      </w:r>
      <w:r w:rsidR="00014FB6" w:rsidRPr="00946E97">
        <w:rPr>
          <w:rFonts w:cstheme="minorHAnsi"/>
          <w:iCs/>
          <w:sz w:val="24"/>
          <w:szCs w:val="24"/>
          <w:lang w:val="en-ZA"/>
        </w:rPr>
        <w:t>is appointed after a public process,</w:t>
      </w:r>
      <w:r w:rsidR="00E46AB9">
        <w:rPr>
          <w:rFonts w:cstheme="minorHAnsi"/>
          <w:iCs/>
          <w:sz w:val="24"/>
          <w:szCs w:val="24"/>
          <w:lang w:val="en-ZA"/>
        </w:rPr>
        <w:t xml:space="preserve"> </w:t>
      </w:r>
      <w:r w:rsidR="00014FB6" w:rsidRPr="00946E97">
        <w:rPr>
          <w:rFonts w:cstheme="minorHAnsi"/>
          <w:iCs/>
          <w:sz w:val="24"/>
          <w:szCs w:val="24"/>
          <w:lang w:val="en-ZA"/>
        </w:rPr>
        <w:t xml:space="preserve">that includes open and transparent interviews led by the Public Service Commission (s 6(1)-(3)). A list of </w:t>
      </w:r>
      <w:r>
        <w:rPr>
          <w:rFonts w:cstheme="minorHAnsi"/>
          <w:iCs/>
          <w:sz w:val="24"/>
          <w:szCs w:val="24"/>
          <w:lang w:val="en-ZA"/>
        </w:rPr>
        <w:t xml:space="preserve">the </w:t>
      </w:r>
      <w:r w:rsidR="00014FB6" w:rsidRPr="00946E97">
        <w:rPr>
          <w:rFonts w:cstheme="minorHAnsi"/>
          <w:iCs/>
          <w:sz w:val="24"/>
          <w:szCs w:val="24"/>
          <w:lang w:val="en-ZA"/>
        </w:rPr>
        <w:t xml:space="preserve">final three </w:t>
      </w:r>
      <w:r w:rsidR="00810C92">
        <w:rPr>
          <w:rFonts w:cstheme="minorHAnsi"/>
          <w:iCs/>
          <w:sz w:val="24"/>
          <w:szCs w:val="24"/>
          <w:lang w:val="en-ZA"/>
        </w:rPr>
        <w:t>are s</w:t>
      </w:r>
      <w:r w:rsidR="00014FB6" w:rsidRPr="00946E97">
        <w:rPr>
          <w:rFonts w:cstheme="minorHAnsi"/>
          <w:iCs/>
          <w:sz w:val="24"/>
          <w:szCs w:val="24"/>
          <w:lang w:val="en-ZA"/>
        </w:rPr>
        <w:t xml:space="preserve">ent to the President </w:t>
      </w:r>
      <w:r w:rsidR="00810C92">
        <w:rPr>
          <w:rFonts w:cstheme="minorHAnsi"/>
          <w:iCs/>
          <w:sz w:val="24"/>
          <w:szCs w:val="24"/>
          <w:lang w:val="en-ZA"/>
        </w:rPr>
        <w:t xml:space="preserve">in </w:t>
      </w:r>
      <w:r w:rsidR="008C43D6">
        <w:rPr>
          <w:rFonts w:cstheme="minorHAnsi"/>
          <w:iCs/>
          <w:sz w:val="24"/>
          <w:szCs w:val="24"/>
          <w:lang w:val="en-ZA"/>
        </w:rPr>
        <w:t>order of merit. Section 6</w:t>
      </w:r>
      <w:r w:rsidR="00014FB6" w:rsidRPr="00946E97">
        <w:rPr>
          <w:rFonts w:cstheme="minorHAnsi"/>
          <w:iCs/>
          <w:sz w:val="24"/>
          <w:szCs w:val="24"/>
          <w:lang w:val="en-ZA"/>
        </w:rPr>
        <w:t>(4) the President shall nominate</w:t>
      </w:r>
      <w:r w:rsidR="00013E83">
        <w:rPr>
          <w:rFonts w:cstheme="minorHAnsi"/>
          <w:iCs/>
          <w:sz w:val="24"/>
          <w:szCs w:val="24"/>
          <w:lang w:val="en-ZA"/>
        </w:rPr>
        <w:t xml:space="preserve"> from the list</w:t>
      </w:r>
      <w:r w:rsidR="00014FB6" w:rsidRPr="00946E97">
        <w:rPr>
          <w:rFonts w:cstheme="minorHAnsi"/>
          <w:iCs/>
          <w:sz w:val="24"/>
          <w:szCs w:val="24"/>
          <w:lang w:val="en-ZA"/>
        </w:rPr>
        <w:t xml:space="preserve"> and, with approval of the National Assembly, appoint the Data Commissioner.</w:t>
      </w:r>
      <w:r w:rsidR="00867597" w:rsidRPr="00946E97">
        <w:rPr>
          <w:rFonts w:cstheme="minorHAnsi"/>
          <w:iCs/>
          <w:sz w:val="24"/>
          <w:szCs w:val="24"/>
          <w:lang w:val="en-ZA"/>
        </w:rPr>
        <w:t xml:space="preserve"> The appointment </w:t>
      </w:r>
      <w:r w:rsidR="00867597" w:rsidRPr="00946E97">
        <w:rPr>
          <w:rFonts w:cstheme="minorHAnsi"/>
          <w:iCs/>
          <w:sz w:val="24"/>
          <w:szCs w:val="24"/>
          <w:lang w:val="en-ZA"/>
        </w:rPr>
        <w:lastRenderedPageBreak/>
        <w:t xml:space="preserve">will be for </w:t>
      </w:r>
      <w:r>
        <w:rPr>
          <w:rFonts w:cstheme="minorHAnsi"/>
          <w:iCs/>
          <w:sz w:val="24"/>
          <w:szCs w:val="24"/>
          <w:lang w:val="en-ZA"/>
        </w:rPr>
        <w:t xml:space="preserve">a </w:t>
      </w:r>
      <w:r w:rsidR="002B17CA" w:rsidRPr="00946E97">
        <w:rPr>
          <w:rFonts w:cstheme="minorHAnsi"/>
          <w:iCs/>
          <w:sz w:val="24"/>
          <w:szCs w:val="24"/>
          <w:lang w:val="en-ZA"/>
        </w:rPr>
        <w:t>6-year</w:t>
      </w:r>
      <w:r w:rsidR="00867597" w:rsidRPr="00946E97">
        <w:rPr>
          <w:rFonts w:cstheme="minorHAnsi"/>
          <w:iCs/>
          <w:sz w:val="24"/>
          <w:szCs w:val="24"/>
          <w:lang w:val="en-ZA"/>
        </w:rPr>
        <w:t xml:space="preserve"> </w:t>
      </w:r>
      <w:r w:rsidR="00EE5915" w:rsidRPr="00946E97">
        <w:rPr>
          <w:rFonts w:cstheme="minorHAnsi"/>
          <w:iCs/>
          <w:sz w:val="24"/>
          <w:szCs w:val="24"/>
          <w:lang w:val="en-ZA"/>
        </w:rPr>
        <w:t>non-renewable</w:t>
      </w:r>
      <w:r w:rsidR="009269D2" w:rsidRPr="00946E97">
        <w:rPr>
          <w:rFonts w:cstheme="minorHAnsi"/>
          <w:iCs/>
          <w:sz w:val="24"/>
          <w:szCs w:val="24"/>
          <w:lang w:val="en-ZA"/>
        </w:rPr>
        <w:t xml:space="preserve"> term and the qualifications are clearly listed.</w:t>
      </w:r>
      <w:r w:rsidR="009269D2" w:rsidRPr="00946E97">
        <w:rPr>
          <w:rStyle w:val="FootnoteReference"/>
          <w:rFonts w:cstheme="minorHAnsi"/>
          <w:iCs/>
          <w:sz w:val="24"/>
          <w:szCs w:val="24"/>
          <w:lang w:val="en-ZA"/>
        </w:rPr>
        <w:footnoteReference w:id="8"/>
      </w:r>
      <w:r w:rsidR="00867597" w:rsidRPr="00946E97">
        <w:rPr>
          <w:rFonts w:cstheme="minorHAnsi"/>
          <w:iCs/>
          <w:sz w:val="24"/>
          <w:szCs w:val="24"/>
          <w:lang w:val="en-ZA"/>
        </w:rPr>
        <w:t xml:space="preserve"> The data commissioner is an independent office, and reports to the National Assembly annual</w:t>
      </w:r>
      <w:r w:rsidR="00F23D5B">
        <w:rPr>
          <w:rFonts w:cstheme="minorHAnsi"/>
          <w:iCs/>
          <w:sz w:val="24"/>
          <w:szCs w:val="24"/>
          <w:lang w:val="en-ZA"/>
        </w:rPr>
        <w:t>ly</w:t>
      </w:r>
      <w:r w:rsidR="00EE5915" w:rsidRPr="00946E97">
        <w:rPr>
          <w:rFonts w:cstheme="minorHAnsi"/>
          <w:iCs/>
          <w:sz w:val="24"/>
          <w:szCs w:val="24"/>
          <w:lang w:val="en-ZA"/>
        </w:rPr>
        <w:t xml:space="preserve"> through the relevant ministry (s70 (1)-(3)). </w:t>
      </w:r>
      <w:r w:rsidR="00D0690E" w:rsidRPr="00946E97">
        <w:rPr>
          <w:rFonts w:cstheme="minorHAnsi"/>
          <w:iCs/>
          <w:sz w:val="24"/>
          <w:szCs w:val="24"/>
          <w:lang w:val="en-ZA"/>
        </w:rPr>
        <w:t>Procedure for removal from office is clearly stipulated including failure to abide by requirements of leadership integrity</w:t>
      </w:r>
      <w:r w:rsidR="00D0690E" w:rsidRPr="00946E97">
        <w:rPr>
          <w:rStyle w:val="FootnoteReference"/>
          <w:rFonts w:cstheme="minorHAnsi"/>
          <w:iCs/>
          <w:sz w:val="24"/>
          <w:szCs w:val="24"/>
          <w:lang w:val="en-ZA"/>
        </w:rPr>
        <w:footnoteReference w:id="9"/>
      </w:r>
      <w:r w:rsidR="00D0690E" w:rsidRPr="00946E97">
        <w:rPr>
          <w:rFonts w:cstheme="minorHAnsi"/>
          <w:iCs/>
          <w:sz w:val="24"/>
          <w:szCs w:val="24"/>
          <w:lang w:val="en-ZA"/>
        </w:rPr>
        <w:t xml:space="preserve"> and is an independent office under the constitution.</w:t>
      </w:r>
      <w:r w:rsidR="00D0690E" w:rsidRPr="00946E97">
        <w:rPr>
          <w:rStyle w:val="FootnoteReference"/>
          <w:rFonts w:cstheme="minorHAnsi"/>
          <w:iCs/>
          <w:sz w:val="24"/>
          <w:szCs w:val="24"/>
          <w:lang w:val="en-ZA"/>
        </w:rPr>
        <w:footnoteReference w:id="10"/>
      </w:r>
    </w:p>
    <w:p w14:paraId="086CEEB6" w14:textId="77777777" w:rsidR="00FD0FF5" w:rsidRPr="00946E97" w:rsidRDefault="002B17CA" w:rsidP="00D439AE">
      <w:pPr>
        <w:jc w:val="both"/>
        <w:rPr>
          <w:rFonts w:cstheme="minorHAnsi"/>
          <w:iCs/>
          <w:sz w:val="24"/>
          <w:szCs w:val="24"/>
          <w:lang w:val="en-ZA"/>
        </w:rPr>
      </w:pPr>
      <w:r w:rsidRPr="00946E97">
        <w:rPr>
          <w:rFonts w:cstheme="minorHAnsi"/>
          <w:iCs/>
          <w:sz w:val="24"/>
          <w:szCs w:val="24"/>
          <w:lang w:val="en-ZA"/>
        </w:rPr>
        <w:t>South Afric</w:t>
      </w:r>
      <w:r w:rsidR="00426FD1" w:rsidRPr="00946E97">
        <w:rPr>
          <w:rFonts w:cstheme="minorHAnsi"/>
          <w:iCs/>
          <w:sz w:val="24"/>
          <w:szCs w:val="24"/>
          <w:lang w:val="en-ZA"/>
        </w:rPr>
        <w:t>a has an information regu</w:t>
      </w:r>
      <w:r w:rsidR="00894E78">
        <w:rPr>
          <w:rFonts w:cstheme="minorHAnsi"/>
          <w:iCs/>
          <w:sz w:val="24"/>
          <w:szCs w:val="24"/>
          <w:lang w:val="en-ZA"/>
        </w:rPr>
        <w:t>lator established under s39 of the Protection of Personal Information</w:t>
      </w:r>
      <w:r w:rsidR="00426FD1" w:rsidRPr="00946E97">
        <w:rPr>
          <w:rFonts w:cstheme="minorHAnsi"/>
          <w:iCs/>
          <w:sz w:val="24"/>
          <w:szCs w:val="24"/>
          <w:lang w:val="en-ZA"/>
        </w:rPr>
        <w:t xml:space="preserve"> Act</w:t>
      </w:r>
      <w:r w:rsidR="00894E78">
        <w:rPr>
          <w:rFonts w:cstheme="minorHAnsi"/>
          <w:iCs/>
          <w:sz w:val="24"/>
          <w:szCs w:val="24"/>
          <w:lang w:val="en-ZA"/>
        </w:rPr>
        <w:t xml:space="preserve"> (POPI Act)</w:t>
      </w:r>
      <w:r w:rsidR="00426FD1" w:rsidRPr="00946E97">
        <w:rPr>
          <w:rFonts w:cstheme="minorHAnsi"/>
          <w:iCs/>
          <w:sz w:val="24"/>
          <w:szCs w:val="24"/>
          <w:lang w:val="en-ZA"/>
        </w:rPr>
        <w:t xml:space="preserve">. </w:t>
      </w:r>
      <w:r w:rsidR="00D53F30" w:rsidRPr="00946E97">
        <w:rPr>
          <w:rFonts w:cstheme="minorHAnsi"/>
          <w:iCs/>
          <w:sz w:val="24"/>
          <w:szCs w:val="24"/>
          <w:lang w:val="en-ZA"/>
        </w:rPr>
        <w:t xml:space="preserve">The information regulator is an independent office, subject to the constitution and reports to the National Assembly. </w:t>
      </w:r>
      <w:r w:rsidR="00AC1488" w:rsidRPr="00946E97">
        <w:rPr>
          <w:rFonts w:cstheme="minorHAnsi"/>
          <w:iCs/>
          <w:sz w:val="24"/>
          <w:szCs w:val="24"/>
          <w:lang w:val="en-ZA"/>
        </w:rPr>
        <w:t xml:space="preserve">Section 41 details the appointment, qualifications and removal of the information regulator. </w:t>
      </w:r>
      <w:r w:rsidR="000B793A" w:rsidRPr="00946E97">
        <w:rPr>
          <w:rFonts w:cstheme="minorHAnsi"/>
          <w:iCs/>
          <w:sz w:val="24"/>
          <w:szCs w:val="24"/>
          <w:lang w:val="en-ZA"/>
        </w:rPr>
        <w:t xml:space="preserve">The information regulator consists of a chairperson and four other members. </w:t>
      </w:r>
      <w:r w:rsidR="00AC1488" w:rsidRPr="00946E97">
        <w:rPr>
          <w:rFonts w:cstheme="minorHAnsi"/>
          <w:iCs/>
          <w:sz w:val="24"/>
          <w:szCs w:val="24"/>
          <w:lang w:val="en-ZA"/>
        </w:rPr>
        <w:t>At least one member</w:t>
      </w:r>
      <w:r w:rsidR="00F95904">
        <w:rPr>
          <w:rFonts w:cstheme="minorHAnsi"/>
          <w:iCs/>
          <w:sz w:val="24"/>
          <w:szCs w:val="24"/>
          <w:lang w:val="en-ZA"/>
        </w:rPr>
        <w:t xml:space="preserve"> must be </w:t>
      </w:r>
      <w:r w:rsidR="008C2C06">
        <w:rPr>
          <w:rFonts w:cstheme="minorHAnsi"/>
          <w:iCs/>
          <w:sz w:val="24"/>
          <w:szCs w:val="24"/>
          <w:lang w:val="en-ZA"/>
        </w:rPr>
        <w:t xml:space="preserve">a </w:t>
      </w:r>
      <w:r w:rsidR="000B793A" w:rsidRPr="00946E97">
        <w:rPr>
          <w:rFonts w:cstheme="minorHAnsi"/>
          <w:iCs/>
          <w:sz w:val="24"/>
          <w:szCs w:val="24"/>
        </w:rPr>
        <w:t>practising advocate or attorney or a professor o</w:t>
      </w:r>
      <w:r w:rsidR="00AC1488" w:rsidRPr="00946E97">
        <w:rPr>
          <w:rFonts w:cstheme="minorHAnsi"/>
          <w:iCs/>
          <w:sz w:val="24"/>
          <w:szCs w:val="24"/>
        </w:rPr>
        <w:t xml:space="preserve">f law at a university; and </w:t>
      </w:r>
      <w:r w:rsidR="000B793A" w:rsidRPr="00946E97">
        <w:rPr>
          <w:rFonts w:cstheme="minorHAnsi"/>
          <w:iCs/>
          <w:sz w:val="24"/>
          <w:szCs w:val="24"/>
        </w:rPr>
        <w:t>the remainder of possess any other “qualifications, expertise and experience relating to the objects of the Regulator”</w:t>
      </w:r>
      <w:r w:rsidR="00AC1488" w:rsidRPr="00946E97">
        <w:rPr>
          <w:rFonts w:cstheme="minorHAnsi"/>
          <w:iCs/>
          <w:sz w:val="24"/>
          <w:szCs w:val="24"/>
        </w:rPr>
        <w:t xml:space="preserve">. The term of office is five years </w:t>
      </w:r>
      <w:r w:rsidR="00665C98">
        <w:rPr>
          <w:rFonts w:cstheme="minorHAnsi"/>
          <w:iCs/>
          <w:sz w:val="24"/>
          <w:szCs w:val="24"/>
        </w:rPr>
        <w:t xml:space="preserve">with </w:t>
      </w:r>
      <w:r w:rsidR="00AC1488" w:rsidRPr="00946E97">
        <w:rPr>
          <w:rFonts w:cstheme="minorHAnsi"/>
          <w:iCs/>
          <w:sz w:val="24"/>
          <w:szCs w:val="24"/>
        </w:rPr>
        <w:t>reappointment</w:t>
      </w:r>
      <w:r w:rsidR="00665C98">
        <w:rPr>
          <w:rFonts w:cstheme="minorHAnsi"/>
          <w:iCs/>
          <w:sz w:val="24"/>
          <w:szCs w:val="24"/>
        </w:rPr>
        <w:t xml:space="preserve"> eligibility</w:t>
      </w:r>
      <w:r w:rsidR="00AC1488" w:rsidRPr="00946E97">
        <w:rPr>
          <w:rFonts w:cstheme="minorHAnsi"/>
          <w:iCs/>
          <w:sz w:val="24"/>
          <w:szCs w:val="24"/>
        </w:rPr>
        <w:t xml:space="preserve">. Removal </w:t>
      </w:r>
      <w:r w:rsidR="00DC5137" w:rsidRPr="00946E97">
        <w:rPr>
          <w:rFonts w:cstheme="minorHAnsi"/>
          <w:iCs/>
          <w:sz w:val="24"/>
          <w:szCs w:val="24"/>
        </w:rPr>
        <w:t>for misconduct, incompetence or incapacity i</w:t>
      </w:r>
      <w:r w:rsidR="000C18BB">
        <w:rPr>
          <w:rFonts w:cstheme="minorHAnsi"/>
          <w:iCs/>
          <w:sz w:val="24"/>
          <w:szCs w:val="24"/>
        </w:rPr>
        <w:t xml:space="preserve">s the President acting upon </w:t>
      </w:r>
      <w:r w:rsidR="00266E24" w:rsidRPr="00946E97">
        <w:rPr>
          <w:rFonts w:cstheme="minorHAnsi"/>
          <w:iCs/>
          <w:sz w:val="24"/>
          <w:szCs w:val="24"/>
        </w:rPr>
        <w:t>successful motions moved</w:t>
      </w:r>
      <w:r w:rsidR="00DC5137" w:rsidRPr="00946E97">
        <w:rPr>
          <w:rFonts w:cstheme="minorHAnsi"/>
          <w:iCs/>
          <w:sz w:val="24"/>
          <w:szCs w:val="24"/>
        </w:rPr>
        <w:t xml:space="preserve"> in National Assembly.</w:t>
      </w:r>
    </w:p>
    <w:p w14:paraId="560E6CBF" w14:textId="77777777" w:rsidR="00FD0FF5" w:rsidRPr="00946E97" w:rsidRDefault="00FD0FF5" w:rsidP="00D439AE">
      <w:pPr>
        <w:jc w:val="both"/>
        <w:rPr>
          <w:rFonts w:cstheme="minorHAnsi"/>
          <w:iCs/>
          <w:sz w:val="24"/>
          <w:szCs w:val="24"/>
        </w:rPr>
      </w:pPr>
      <w:r w:rsidRPr="00946E97">
        <w:rPr>
          <w:rFonts w:cstheme="minorHAnsi"/>
          <w:b/>
          <w:i/>
          <w:iCs/>
          <w:sz w:val="24"/>
          <w:szCs w:val="24"/>
        </w:rPr>
        <w:t>Recommendation</w:t>
      </w:r>
      <w:r w:rsidR="008829F6" w:rsidRPr="00946E97">
        <w:rPr>
          <w:rFonts w:cstheme="minorHAnsi"/>
          <w:iCs/>
          <w:sz w:val="24"/>
          <w:szCs w:val="24"/>
        </w:rPr>
        <w:t>:</w:t>
      </w:r>
      <w:r w:rsidR="00A10AA8" w:rsidRPr="00946E97">
        <w:rPr>
          <w:rFonts w:cstheme="minorHAnsi"/>
          <w:iCs/>
          <w:sz w:val="24"/>
          <w:szCs w:val="24"/>
        </w:rPr>
        <w:t xml:space="preserve"> </w:t>
      </w:r>
      <w:r w:rsidR="003360B8" w:rsidRPr="00946E97">
        <w:rPr>
          <w:rFonts w:cstheme="minorHAnsi"/>
          <w:iCs/>
          <w:sz w:val="24"/>
          <w:szCs w:val="24"/>
        </w:rPr>
        <w:t>POTRA</w:t>
      </w:r>
      <w:r w:rsidR="00CF7BB2" w:rsidRPr="00946E97">
        <w:rPr>
          <w:rFonts w:cstheme="minorHAnsi"/>
          <w:iCs/>
          <w:sz w:val="24"/>
          <w:szCs w:val="24"/>
        </w:rPr>
        <w:t xml:space="preserve">Z is </w:t>
      </w:r>
      <w:r w:rsidR="00BA5363" w:rsidRPr="00946E97">
        <w:rPr>
          <w:rFonts w:cstheme="minorHAnsi"/>
          <w:iCs/>
          <w:sz w:val="24"/>
          <w:szCs w:val="24"/>
        </w:rPr>
        <w:t>accumu</w:t>
      </w:r>
      <w:r w:rsidR="00CF7BB2" w:rsidRPr="00946E97">
        <w:rPr>
          <w:rFonts w:cstheme="minorHAnsi"/>
          <w:iCs/>
          <w:sz w:val="24"/>
          <w:szCs w:val="24"/>
        </w:rPr>
        <w:t>lating unfettered powers with no</w:t>
      </w:r>
      <w:r w:rsidR="00BA5363" w:rsidRPr="00946E97">
        <w:rPr>
          <w:rFonts w:cstheme="minorHAnsi"/>
          <w:iCs/>
          <w:sz w:val="24"/>
          <w:szCs w:val="24"/>
        </w:rPr>
        <w:t xml:space="preserve"> oversight mechanisms. The DPA functions should be resident in </w:t>
      </w:r>
      <w:r w:rsidR="00AC122A">
        <w:rPr>
          <w:rFonts w:cstheme="minorHAnsi"/>
          <w:iCs/>
          <w:sz w:val="24"/>
          <w:szCs w:val="24"/>
        </w:rPr>
        <w:t xml:space="preserve">a </w:t>
      </w:r>
      <w:r w:rsidR="00BA5363" w:rsidRPr="00946E97">
        <w:rPr>
          <w:rFonts w:cstheme="minorHAnsi"/>
          <w:iCs/>
          <w:sz w:val="24"/>
          <w:szCs w:val="24"/>
        </w:rPr>
        <w:t>new and independent institution</w:t>
      </w:r>
      <w:r w:rsidR="00CF7BB2" w:rsidRPr="00946E97">
        <w:rPr>
          <w:rFonts w:cstheme="minorHAnsi"/>
          <w:iCs/>
          <w:sz w:val="24"/>
          <w:szCs w:val="24"/>
        </w:rPr>
        <w:t>, and a statutory commission</w:t>
      </w:r>
      <w:r w:rsidR="00BA5363" w:rsidRPr="00946E97">
        <w:rPr>
          <w:rFonts w:cstheme="minorHAnsi"/>
          <w:iCs/>
          <w:sz w:val="24"/>
          <w:szCs w:val="24"/>
        </w:rPr>
        <w:t>. The Bill should provide for an independent DPA, accountable to Parliament</w:t>
      </w:r>
      <w:r w:rsidR="003E165A">
        <w:rPr>
          <w:rFonts w:cstheme="minorHAnsi"/>
          <w:iCs/>
          <w:sz w:val="24"/>
          <w:szCs w:val="24"/>
        </w:rPr>
        <w:t>.</w:t>
      </w:r>
      <w:r w:rsidR="00BA5363" w:rsidRPr="00946E97">
        <w:rPr>
          <w:rFonts w:cstheme="minorHAnsi"/>
          <w:iCs/>
          <w:sz w:val="24"/>
          <w:szCs w:val="24"/>
        </w:rPr>
        <w:t xml:space="preserve"> </w:t>
      </w:r>
      <w:r w:rsidR="003E165A">
        <w:rPr>
          <w:rFonts w:cstheme="minorHAnsi"/>
          <w:iCs/>
          <w:sz w:val="24"/>
          <w:szCs w:val="24"/>
        </w:rPr>
        <w:t>The</w:t>
      </w:r>
      <w:r w:rsidR="00BA5363" w:rsidRPr="00946E97">
        <w:rPr>
          <w:rFonts w:cstheme="minorHAnsi"/>
          <w:iCs/>
          <w:sz w:val="24"/>
          <w:szCs w:val="24"/>
        </w:rPr>
        <w:t xml:space="preserve"> appointment processes </w:t>
      </w:r>
      <w:r w:rsidR="003E165A">
        <w:rPr>
          <w:rFonts w:cstheme="minorHAnsi"/>
          <w:iCs/>
          <w:sz w:val="24"/>
          <w:szCs w:val="24"/>
        </w:rPr>
        <w:t xml:space="preserve">must be </w:t>
      </w:r>
      <w:r w:rsidR="00BA5363" w:rsidRPr="00946E97">
        <w:rPr>
          <w:rFonts w:cstheme="minorHAnsi"/>
          <w:iCs/>
          <w:sz w:val="24"/>
          <w:szCs w:val="24"/>
        </w:rPr>
        <w:t xml:space="preserve">publicly conducted </w:t>
      </w:r>
      <w:r w:rsidR="003E165A">
        <w:rPr>
          <w:rFonts w:cstheme="minorHAnsi"/>
          <w:iCs/>
          <w:sz w:val="24"/>
          <w:szCs w:val="24"/>
        </w:rPr>
        <w:t>to instill</w:t>
      </w:r>
      <w:r w:rsidR="00BA5363" w:rsidRPr="00946E97">
        <w:rPr>
          <w:rFonts w:cstheme="minorHAnsi"/>
          <w:iCs/>
          <w:sz w:val="24"/>
          <w:szCs w:val="24"/>
        </w:rPr>
        <w:t xml:space="preserve"> confide</w:t>
      </w:r>
      <w:r w:rsidR="000F24F3">
        <w:rPr>
          <w:rFonts w:cstheme="minorHAnsi"/>
          <w:iCs/>
          <w:sz w:val="24"/>
          <w:szCs w:val="24"/>
        </w:rPr>
        <w:t>nce and legitimacy</w:t>
      </w:r>
      <w:r w:rsidR="00A10AA8" w:rsidRPr="00946E97">
        <w:rPr>
          <w:rFonts w:cstheme="minorHAnsi"/>
          <w:iCs/>
          <w:sz w:val="24"/>
          <w:szCs w:val="24"/>
        </w:rPr>
        <w:t xml:space="preserve">. </w:t>
      </w:r>
      <w:r w:rsidR="00D905FD">
        <w:rPr>
          <w:rFonts w:cstheme="minorHAnsi"/>
          <w:iCs/>
          <w:sz w:val="24"/>
          <w:szCs w:val="24"/>
        </w:rPr>
        <w:t>It is possible that a</w:t>
      </w:r>
      <w:r w:rsidR="00A10AA8" w:rsidRPr="00946E97">
        <w:rPr>
          <w:rFonts w:cstheme="minorHAnsi"/>
          <w:iCs/>
          <w:sz w:val="24"/>
          <w:szCs w:val="24"/>
        </w:rPr>
        <w:t>rguments o</w:t>
      </w:r>
      <w:r w:rsidR="00D905FD">
        <w:rPr>
          <w:rFonts w:cstheme="minorHAnsi"/>
          <w:iCs/>
          <w:sz w:val="24"/>
          <w:szCs w:val="24"/>
        </w:rPr>
        <w:t>n the availability of resources for such an initiative might be raised.</w:t>
      </w:r>
      <w:r w:rsidR="000F24F3">
        <w:rPr>
          <w:rFonts w:cstheme="minorHAnsi"/>
          <w:iCs/>
          <w:sz w:val="24"/>
          <w:szCs w:val="24"/>
        </w:rPr>
        <w:t xml:space="preserve"> H</w:t>
      </w:r>
      <w:r w:rsidR="00A10AA8" w:rsidRPr="00946E97">
        <w:rPr>
          <w:rFonts w:cstheme="minorHAnsi"/>
          <w:iCs/>
          <w:sz w:val="24"/>
          <w:szCs w:val="24"/>
        </w:rPr>
        <w:t>owever additional institutions are being created such as the Public Protector under Const</w:t>
      </w:r>
      <w:r w:rsidR="000F24F3">
        <w:rPr>
          <w:rFonts w:cstheme="minorHAnsi"/>
          <w:iCs/>
          <w:sz w:val="24"/>
          <w:szCs w:val="24"/>
        </w:rPr>
        <w:t>itution Amendment Bill number 2 whose functions can easily include data protection</w:t>
      </w:r>
      <w:r w:rsidR="00E72817">
        <w:rPr>
          <w:rFonts w:cstheme="minorHAnsi"/>
          <w:iCs/>
          <w:sz w:val="24"/>
          <w:szCs w:val="24"/>
        </w:rPr>
        <w:t xml:space="preserve"> and handling of complaints from public</w:t>
      </w:r>
      <w:r w:rsidR="000F24F3">
        <w:rPr>
          <w:rFonts w:cstheme="minorHAnsi"/>
          <w:iCs/>
          <w:sz w:val="24"/>
          <w:szCs w:val="24"/>
        </w:rPr>
        <w:t>.</w:t>
      </w:r>
      <w:r w:rsidR="00A10AA8" w:rsidRPr="00946E97">
        <w:rPr>
          <w:rFonts w:cstheme="minorHAnsi"/>
          <w:iCs/>
          <w:sz w:val="24"/>
          <w:szCs w:val="24"/>
        </w:rPr>
        <w:t xml:space="preserve"> </w:t>
      </w:r>
    </w:p>
    <w:p w14:paraId="026EB0CF" w14:textId="77777777" w:rsidR="008C7EC3" w:rsidRPr="00946E97" w:rsidRDefault="00E72817" w:rsidP="00D439AE">
      <w:pPr>
        <w:jc w:val="both"/>
        <w:rPr>
          <w:rFonts w:cstheme="minorHAnsi"/>
          <w:iCs/>
          <w:sz w:val="24"/>
          <w:szCs w:val="24"/>
        </w:rPr>
      </w:pPr>
      <w:r>
        <w:rPr>
          <w:rFonts w:cstheme="minorHAnsi"/>
          <w:iCs/>
          <w:sz w:val="24"/>
          <w:szCs w:val="24"/>
        </w:rPr>
        <w:t>The Authority</w:t>
      </w:r>
      <w:r w:rsidR="008C7EC3" w:rsidRPr="00946E97">
        <w:rPr>
          <w:rFonts w:cstheme="minorHAnsi"/>
          <w:iCs/>
          <w:sz w:val="24"/>
          <w:szCs w:val="24"/>
        </w:rPr>
        <w:t xml:space="preserve"> will be providing advice on constitutional matters,</w:t>
      </w:r>
      <w:r w:rsidR="00E46AB9">
        <w:rPr>
          <w:rFonts w:cstheme="minorHAnsi"/>
          <w:iCs/>
          <w:sz w:val="24"/>
          <w:szCs w:val="24"/>
        </w:rPr>
        <w:t xml:space="preserve"> </w:t>
      </w:r>
      <w:r w:rsidR="008C7EC3" w:rsidRPr="00946E97">
        <w:rPr>
          <w:rFonts w:cstheme="minorHAnsi"/>
          <w:iCs/>
          <w:sz w:val="24"/>
          <w:szCs w:val="24"/>
        </w:rPr>
        <w:t>that is matters relating to the right to pri</w:t>
      </w:r>
      <w:r w:rsidR="00F64233">
        <w:rPr>
          <w:rFonts w:cstheme="minorHAnsi"/>
          <w:iCs/>
          <w:sz w:val="24"/>
          <w:szCs w:val="24"/>
        </w:rPr>
        <w:t xml:space="preserve">vacy and access to information. In its current composition </w:t>
      </w:r>
      <w:r w:rsidR="008C7EC3" w:rsidRPr="00946E97">
        <w:rPr>
          <w:rFonts w:cstheme="minorHAnsi"/>
          <w:iCs/>
          <w:sz w:val="24"/>
          <w:szCs w:val="24"/>
        </w:rPr>
        <w:t xml:space="preserve">POTRAZ is not suited for </w:t>
      </w:r>
      <w:r w:rsidR="00F64233">
        <w:rPr>
          <w:rFonts w:cstheme="minorHAnsi"/>
          <w:iCs/>
          <w:sz w:val="24"/>
          <w:szCs w:val="24"/>
        </w:rPr>
        <w:t xml:space="preserve">any of </w:t>
      </w:r>
      <w:r w:rsidR="008C7EC3" w:rsidRPr="00946E97">
        <w:rPr>
          <w:rFonts w:cstheme="minorHAnsi"/>
          <w:iCs/>
          <w:sz w:val="24"/>
          <w:szCs w:val="24"/>
        </w:rPr>
        <w:t>these purposes. The POTRAZ Board has diverse but not appropriate skills set for conducting policy advise and oversight on issue</w:t>
      </w:r>
      <w:r w:rsidR="00D905FD">
        <w:rPr>
          <w:rFonts w:cstheme="minorHAnsi"/>
          <w:iCs/>
          <w:sz w:val="24"/>
          <w:szCs w:val="24"/>
        </w:rPr>
        <w:t>s</w:t>
      </w:r>
      <w:r w:rsidR="008C7EC3" w:rsidRPr="00946E97">
        <w:rPr>
          <w:rFonts w:cstheme="minorHAnsi"/>
          <w:iCs/>
          <w:sz w:val="24"/>
          <w:szCs w:val="24"/>
        </w:rPr>
        <w:t xml:space="preserve"> such as right to privacy and access to </w:t>
      </w:r>
      <w:r w:rsidR="00F64233">
        <w:rPr>
          <w:rFonts w:cstheme="minorHAnsi"/>
          <w:iCs/>
          <w:sz w:val="24"/>
          <w:szCs w:val="24"/>
        </w:rPr>
        <w:t>information. The technical staff working on data protection should also be recruited in open public processes</w:t>
      </w:r>
      <w:r w:rsidR="008C7EC3" w:rsidRPr="00946E97">
        <w:rPr>
          <w:rFonts w:cstheme="minorHAnsi"/>
          <w:iCs/>
          <w:sz w:val="24"/>
          <w:szCs w:val="24"/>
        </w:rPr>
        <w:t>.</w:t>
      </w:r>
    </w:p>
    <w:p w14:paraId="6B81AB5F" w14:textId="77777777" w:rsidR="00FA3D79" w:rsidRPr="00946E97" w:rsidRDefault="006F092D" w:rsidP="00D439AE">
      <w:pPr>
        <w:pStyle w:val="Heading2"/>
        <w:jc w:val="both"/>
        <w:rPr>
          <w:rFonts w:cstheme="minorHAnsi"/>
          <w:szCs w:val="24"/>
        </w:rPr>
      </w:pPr>
      <w:bookmarkStart w:id="8" w:name="_Toc43374610"/>
      <w:r w:rsidRPr="00946E97">
        <w:rPr>
          <w:rFonts w:cstheme="minorHAnsi"/>
          <w:szCs w:val="24"/>
        </w:rPr>
        <w:t xml:space="preserve">Part </w:t>
      </w:r>
      <w:r w:rsidR="00FA3D79" w:rsidRPr="00946E97">
        <w:rPr>
          <w:rFonts w:cstheme="minorHAnsi"/>
          <w:szCs w:val="24"/>
        </w:rPr>
        <w:t xml:space="preserve">IV </w:t>
      </w:r>
      <w:r w:rsidR="0091780A" w:rsidRPr="00946E97">
        <w:rPr>
          <w:rFonts w:cstheme="minorHAnsi"/>
          <w:szCs w:val="24"/>
        </w:rPr>
        <w:t>and Part V</w:t>
      </w:r>
      <w:bookmarkEnd w:id="8"/>
    </w:p>
    <w:p w14:paraId="689841DD" w14:textId="77777777" w:rsidR="00FA3D79" w:rsidRPr="005A1CAD" w:rsidRDefault="000933A5" w:rsidP="005A1CAD">
      <w:pPr>
        <w:pStyle w:val="ListParagraph"/>
        <w:numPr>
          <w:ilvl w:val="0"/>
          <w:numId w:val="11"/>
        </w:numPr>
        <w:jc w:val="both"/>
        <w:rPr>
          <w:rFonts w:cstheme="minorHAnsi"/>
          <w:b/>
          <w:sz w:val="24"/>
          <w:szCs w:val="24"/>
        </w:rPr>
      </w:pPr>
      <w:r w:rsidRPr="005A1CAD">
        <w:rPr>
          <w:rFonts w:cstheme="minorHAnsi"/>
          <w:b/>
          <w:sz w:val="24"/>
          <w:szCs w:val="24"/>
        </w:rPr>
        <w:t>Data Quality and Principle of Data Protection and Privacy</w:t>
      </w:r>
    </w:p>
    <w:p w14:paraId="3423B0D9" w14:textId="77777777" w:rsidR="00FA3D79" w:rsidRPr="00946E97" w:rsidRDefault="00FA3D79" w:rsidP="00D439AE">
      <w:pPr>
        <w:jc w:val="both"/>
        <w:rPr>
          <w:rFonts w:cstheme="minorHAnsi"/>
          <w:sz w:val="24"/>
          <w:szCs w:val="24"/>
        </w:rPr>
      </w:pPr>
      <w:r w:rsidRPr="00946E97">
        <w:rPr>
          <w:rFonts w:cstheme="minorHAnsi"/>
          <w:b/>
          <w:i/>
          <w:sz w:val="24"/>
          <w:szCs w:val="24"/>
        </w:rPr>
        <w:t>Issue</w:t>
      </w:r>
      <w:r w:rsidRPr="00946E97">
        <w:rPr>
          <w:rFonts w:cstheme="minorHAnsi"/>
          <w:sz w:val="24"/>
          <w:szCs w:val="24"/>
        </w:rPr>
        <w:t>: quality of data</w:t>
      </w:r>
      <w:r w:rsidR="0091780A" w:rsidRPr="00946E97">
        <w:rPr>
          <w:rFonts w:cstheme="minorHAnsi"/>
          <w:sz w:val="24"/>
          <w:szCs w:val="24"/>
        </w:rPr>
        <w:t>, principles of data protection</w:t>
      </w:r>
    </w:p>
    <w:p w14:paraId="58444E72" w14:textId="77777777" w:rsidR="008C6770" w:rsidRPr="00946E97" w:rsidRDefault="00FA3D79" w:rsidP="00D439AE">
      <w:pPr>
        <w:jc w:val="both"/>
        <w:rPr>
          <w:rFonts w:cstheme="minorHAnsi"/>
          <w:sz w:val="24"/>
          <w:szCs w:val="24"/>
        </w:rPr>
      </w:pPr>
      <w:r w:rsidRPr="00946E97">
        <w:rPr>
          <w:rFonts w:cstheme="minorHAnsi"/>
          <w:b/>
          <w:i/>
          <w:sz w:val="24"/>
          <w:szCs w:val="24"/>
        </w:rPr>
        <w:t>Discussion</w:t>
      </w:r>
      <w:r w:rsidRPr="00946E97">
        <w:rPr>
          <w:rFonts w:cstheme="minorHAnsi"/>
          <w:sz w:val="24"/>
          <w:szCs w:val="24"/>
        </w:rPr>
        <w:t>:</w:t>
      </w:r>
      <w:r w:rsidR="00954FBC" w:rsidRPr="00946E97">
        <w:rPr>
          <w:rFonts w:cstheme="minorHAnsi"/>
          <w:sz w:val="24"/>
          <w:szCs w:val="24"/>
        </w:rPr>
        <w:t xml:space="preserve"> </w:t>
      </w:r>
      <w:r w:rsidR="0091780A" w:rsidRPr="00946E97">
        <w:rPr>
          <w:rFonts w:cstheme="minorHAnsi"/>
          <w:sz w:val="24"/>
          <w:szCs w:val="24"/>
        </w:rPr>
        <w:t>Part IV, section 9 (1)(a)-(c), summarizes the data protection principles</w:t>
      </w:r>
      <w:r w:rsidR="00E52CD0" w:rsidRPr="00946E97">
        <w:rPr>
          <w:rFonts w:cstheme="minorHAnsi"/>
          <w:sz w:val="24"/>
          <w:szCs w:val="24"/>
        </w:rPr>
        <w:t xml:space="preserve"> applicable to a data controller</w:t>
      </w:r>
      <w:r w:rsidR="0091780A" w:rsidRPr="00946E97">
        <w:rPr>
          <w:rFonts w:cstheme="minorHAnsi"/>
          <w:sz w:val="24"/>
          <w:szCs w:val="24"/>
        </w:rPr>
        <w:t xml:space="preserve">. Unfortunately, to make this short and precise, the Bill leaves out critical aspects or has them scattered in other sections, including Part V, sections 10 and 11, making the </w:t>
      </w:r>
      <w:r w:rsidR="00D95EB6">
        <w:rPr>
          <w:rFonts w:cstheme="minorHAnsi"/>
          <w:sz w:val="24"/>
          <w:szCs w:val="24"/>
        </w:rPr>
        <w:t xml:space="preserve">Bill </w:t>
      </w:r>
      <w:r w:rsidR="00E71E6D">
        <w:rPr>
          <w:rFonts w:cstheme="minorHAnsi"/>
          <w:sz w:val="24"/>
          <w:szCs w:val="24"/>
        </w:rPr>
        <w:t xml:space="preserve">a </w:t>
      </w:r>
      <w:r w:rsidR="0091780A" w:rsidRPr="00946E97">
        <w:rPr>
          <w:rFonts w:cstheme="minorHAnsi"/>
          <w:sz w:val="24"/>
          <w:szCs w:val="24"/>
        </w:rPr>
        <w:t>complicated</w:t>
      </w:r>
      <w:r w:rsidR="00E71E6D">
        <w:rPr>
          <w:rFonts w:cstheme="minorHAnsi"/>
          <w:sz w:val="24"/>
          <w:szCs w:val="24"/>
        </w:rPr>
        <w:t xml:space="preserve"> read</w:t>
      </w:r>
      <w:r w:rsidR="0091780A" w:rsidRPr="00946E97">
        <w:rPr>
          <w:rFonts w:cstheme="minorHAnsi"/>
          <w:sz w:val="24"/>
          <w:szCs w:val="24"/>
        </w:rPr>
        <w:t xml:space="preserve">. Kenya, Uganda, and South Africa </w:t>
      </w:r>
      <w:r w:rsidR="00FF536E" w:rsidRPr="00946E97">
        <w:rPr>
          <w:rFonts w:cstheme="minorHAnsi"/>
          <w:sz w:val="24"/>
          <w:szCs w:val="24"/>
        </w:rPr>
        <w:t xml:space="preserve">incorporate </w:t>
      </w:r>
      <w:r w:rsidR="0091780A" w:rsidRPr="00946E97">
        <w:rPr>
          <w:rFonts w:cstheme="minorHAnsi"/>
          <w:sz w:val="24"/>
          <w:szCs w:val="24"/>
        </w:rPr>
        <w:t>principles of processing of data</w:t>
      </w:r>
      <w:r w:rsidR="006E2947">
        <w:rPr>
          <w:rFonts w:cstheme="minorHAnsi"/>
          <w:sz w:val="24"/>
          <w:szCs w:val="24"/>
        </w:rPr>
        <w:t xml:space="preserve"> </w:t>
      </w:r>
      <w:r w:rsidR="006E2947">
        <w:rPr>
          <w:rFonts w:cstheme="minorHAnsi"/>
          <w:sz w:val="24"/>
          <w:szCs w:val="24"/>
        </w:rPr>
        <w:lastRenderedPageBreak/>
        <w:t>clearly in their laws borrowing from the European Union General Data Protection Regulation (GDPR).</w:t>
      </w:r>
      <w:r w:rsidR="0091780A" w:rsidRPr="00946E97">
        <w:rPr>
          <w:rFonts w:cstheme="minorHAnsi"/>
          <w:sz w:val="24"/>
          <w:szCs w:val="24"/>
        </w:rPr>
        <w:t xml:space="preserve"> </w:t>
      </w:r>
    </w:p>
    <w:p w14:paraId="4F824E8B" w14:textId="77777777" w:rsidR="00D905FD" w:rsidRDefault="006E2947" w:rsidP="00D439AE">
      <w:pPr>
        <w:jc w:val="both"/>
        <w:rPr>
          <w:rFonts w:cstheme="minorHAnsi"/>
          <w:sz w:val="24"/>
          <w:szCs w:val="24"/>
        </w:rPr>
      </w:pPr>
      <w:r>
        <w:rPr>
          <w:rFonts w:cstheme="minorHAnsi"/>
          <w:sz w:val="24"/>
          <w:szCs w:val="24"/>
        </w:rPr>
        <w:t xml:space="preserve">Article 5 of GDPR </w:t>
      </w:r>
      <w:r w:rsidR="00F26255" w:rsidRPr="00946E97">
        <w:rPr>
          <w:rFonts w:cstheme="minorHAnsi"/>
          <w:sz w:val="24"/>
          <w:szCs w:val="24"/>
        </w:rPr>
        <w:t xml:space="preserve">lays out the principles </w:t>
      </w:r>
      <w:r w:rsidR="004E1FBF" w:rsidRPr="00946E97">
        <w:rPr>
          <w:rFonts w:cstheme="minorHAnsi"/>
          <w:sz w:val="24"/>
          <w:szCs w:val="24"/>
        </w:rPr>
        <w:t>as</w:t>
      </w:r>
      <w:r w:rsidR="00D905FD">
        <w:rPr>
          <w:rFonts w:cstheme="minorHAnsi"/>
          <w:sz w:val="24"/>
          <w:szCs w:val="24"/>
        </w:rPr>
        <w:t xml:space="preserve"> follows</w:t>
      </w:r>
    </w:p>
    <w:p w14:paraId="550C103F" w14:textId="77777777" w:rsidR="00D905FD" w:rsidRPr="00E46AB9" w:rsidRDefault="000337EE" w:rsidP="00E46AB9">
      <w:pPr>
        <w:pStyle w:val="ListParagraph"/>
        <w:numPr>
          <w:ilvl w:val="0"/>
          <w:numId w:val="19"/>
        </w:numPr>
        <w:jc w:val="both"/>
        <w:rPr>
          <w:rFonts w:cstheme="minorHAnsi"/>
          <w:sz w:val="24"/>
          <w:szCs w:val="24"/>
        </w:rPr>
      </w:pPr>
      <w:r w:rsidRPr="00E46AB9">
        <w:rPr>
          <w:rFonts w:cstheme="minorHAnsi"/>
          <w:sz w:val="24"/>
          <w:szCs w:val="24"/>
        </w:rPr>
        <w:t>lawfulness, fairness and transparency;</w:t>
      </w:r>
    </w:p>
    <w:p w14:paraId="4AD8345A" w14:textId="77777777" w:rsidR="00D905FD" w:rsidRPr="00E46AB9" w:rsidRDefault="000337EE" w:rsidP="00E46AB9">
      <w:pPr>
        <w:pStyle w:val="ListParagraph"/>
        <w:numPr>
          <w:ilvl w:val="0"/>
          <w:numId w:val="19"/>
        </w:numPr>
        <w:jc w:val="both"/>
        <w:rPr>
          <w:rFonts w:cstheme="minorHAnsi"/>
          <w:sz w:val="24"/>
          <w:szCs w:val="24"/>
        </w:rPr>
      </w:pPr>
      <w:r w:rsidRPr="00E46AB9">
        <w:rPr>
          <w:rFonts w:cstheme="minorHAnsi"/>
          <w:sz w:val="24"/>
          <w:szCs w:val="24"/>
        </w:rPr>
        <w:t xml:space="preserve">purpose limitation; </w:t>
      </w:r>
    </w:p>
    <w:p w14:paraId="635D3703" w14:textId="77777777" w:rsidR="00D905FD" w:rsidRPr="00E46AB9" w:rsidRDefault="000337EE" w:rsidP="00E46AB9">
      <w:pPr>
        <w:pStyle w:val="ListParagraph"/>
        <w:numPr>
          <w:ilvl w:val="0"/>
          <w:numId w:val="19"/>
        </w:numPr>
        <w:jc w:val="both"/>
        <w:rPr>
          <w:rFonts w:cstheme="minorHAnsi"/>
          <w:sz w:val="24"/>
          <w:szCs w:val="24"/>
        </w:rPr>
      </w:pPr>
      <w:r w:rsidRPr="00E46AB9">
        <w:rPr>
          <w:rFonts w:cstheme="minorHAnsi"/>
          <w:sz w:val="24"/>
          <w:szCs w:val="24"/>
        </w:rPr>
        <w:t xml:space="preserve">data minimisation; </w:t>
      </w:r>
    </w:p>
    <w:p w14:paraId="0A145186" w14:textId="77777777" w:rsidR="00D905FD" w:rsidRPr="00E46AB9" w:rsidRDefault="000337EE" w:rsidP="00E46AB9">
      <w:pPr>
        <w:pStyle w:val="ListParagraph"/>
        <w:numPr>
          <w:ilvl w:val="0"/>
          <w:numId w:val="19"/>
        </w:numPr>
        <w:jc w:val="both"/>
        <w:rPr>
          <w:rFonts w:cstheme="minorHAnsi"/>
          <w:sz w:val="24"/>
          <w:szCs w:val="24"/>
        </w:rPr>
      </w:pPr>
      <w:r w:rsidRPr="00E46AB9">
        <w:rPr>
          <w:rFonts w:cstheme="minorHAnsi"/>
          <w:sz w:val="24"/>
          <w:szCs w:val="24"/>
        </w:rPr>
        <w:t xml:space="preserve">accuracy; </w:t>
      </w:r>
    </w:p>
    <w:p w14:paraId="48883694" w14:textId="77777777" w:rsidR="00D905FD" w:rsidRPr="00E46AB9" w:rsidRDefault="000337EE" w:rsidP="00E46AB9">
      <w:pPr>
        <w:pStyle w:val="ListParagraph"/>
        <w:numPr>
          <w:ilvl w:val="0"/>
          <w:numId w:val="19"/>
        </w:numPr>
        <w:jc w:val="both"/>
        <w:rPr>
          <w:rFonts w:cstheme="minorHAnsi"/>
          <w:sz w:val="24"/>
          <w:szCs w:val="24"/>
        </w:rPr>
      </w:pPr>
      <w:r w:rsidRPr="00E46AB9">
        <w:rPr>
          <w:rFonts w:cstheme="minorHAnsi"/>
          <w:sz w:val="24"/>
          <w:szCs w:val="24"/>
        </w:rPr>
        <w:t xml:space="preserve">storage limitation; </w:t>
      </w:r>
    </w:p>
    <w:p w14:paraId="2CA2AEBF" w14:textId="77777777" w:rsidR="00D905FD" w:rsidRPr="00E46AB9" w:rsidRDefault="000337EE" w:rsidP="00E46AB9">
      <w:pPr>
        <w:pStyle w:val="ListParagraph"/>
        <w:numPr>
          <w:ilvl w:val="0"/>
          <w:numId w:val="19"/>
        </w:numPr>
        <w:jc w:val="both"/>
        <w:rPr>
          <w:rFonts w:cstheme="minorHAnsi"/>
          <w:sz w:val="24"/>
          <w:szCs w:val="24"/>
        </w:rPr>
      </w:pPr>
      <w:r w:rsidRPr="00E46AB9">
        <w:rPr>
          <w:rFonts w:cstheme="minorHAnsi"/>
          <w:sz w:val="24"/>
          <w:szCs w:val="24"/>
        </w:rPr>
        <w:t xml:space="preserve">integrity and confidentiality; </w:t>
      </w:r>
    </w:p>
    <w:p w14:paraId="7816AD33" w14:textId="77777777" w:rsidR="006E2947" w:rsidRPr="00E46AB9" w:rsidRDefault="000337EE" w:rsidP="00E46AB9">
      <w:pPr>
        <w:pStyle w:val="ListParagraph"/>
        <w:numPr>
          <w:ilvl w:val="0"/>
          <w:numId w:val="19"/>
        </w:numPr>
        <w:jc w:val="both"/>
        <w:rPr>
          <w:rFonts w:cstheme="minorHAnsi"/>
          <w:sz w:val="24"/>
          <w:szCs w:val="24"/>
        </w:rPr>
      </w:pPr>
      <w:r w:rsidRPr="00E46AB9">
        <w:rPr>
          <w:rFonts w:cstheme="minorHAnsi"/>
          <w:sz w:val="24"/>
          <w:szCs w:val="24"/>
        </w:rPr>
        <w:t>accountability.</w:t>
      </w:r>
      <w:r w:rsidR="00E52CD0" w:rsidRPr="00E46AB9">
        <w:rPr>
          <w:rFonts w:cstheme="minorHAnsi"/>
          <w:sz w:val="24"/>
          <w:szCs w:val="24"/>
        </w:rPr>
        <w:t xml:space="preserve"> </w:t>
      </w:r>
    </w:p>
    <w:p w14:paraId="18FF793D" w14:textId="77777777" w:rsidR="007B4F65" w:rsidRPr="00946E97" w:rsidRDefault="009649D3" w:rsidP="00D439AE">
      <w:pPr>
        <w:jc w:val="both"/>
        <w:rPr>
          <w:rFonts w:cstheme="minorHAnsi"/>
          <w:sz w:val="24"/>
          <w:szCs w:val="24"/>
        </w:rPr>
      </w:pPr>
      <w:r w:rsidRPr="00946E97">
        <w:rPr>
          <w:rFonts w:cstheme="minorHAnsi"/>
          <w:sz w:val="24"/>
          <w:szCs w:val="24"/>
        </w:rPr>
        <w:t>Lawfulness</w:t>
      </w:r>
      <w:r w:rsidR="002108F4" w:rsidRPr="00946E97">
        <w:rPr>
          <w:rFonts w:cstheme="minorHAnsi"/>
          <w:sz w:val="24"/>
          <w:szCs w:val="24"/>
        </w:rPr>
        <w:t xml:space="preserve">, fairness and transparency </w:t>
      </w:r>
      <w:r w:rsidR="00965612" w:rsidRPr="00946E97">
        <w:rPr>
          <w:rFonts w:cstheme="minorHAnsi"/>
          <w:sz w:val="24"/>
          <w:szCs w:val="24"/>
        </w:rPr>
        <w:t>require data processing</w:t>
      </w:r>
      <w:r w:rsidR="002108F4" w:rsidRPr="00946E97">
        <w:rPr>
          <w:rFonts w:cstheme="minorHAnsi"/>
          <w:sz w:val="24"/>
          <w:szCs w:val="24"/>
        </w:rPr>
        <w:t xml:space="preserve"> to be for lawful purposes, </w:t>
      </w:r>
      <w:r w:rsidR="00965612" w:rsidRPr="00946E97">
        <w:rPr>
          <w:rFonts w:cstheme="minorHAnsi"/>
          <w:sz w:val="24"/>
          <w:szCs w:val="24"/>
        </w:rPr>
        <w:t>and</w:t>
      </w:r>
      <w:r w:rsidR="002108F4" w:rsidRPr="00946E97">
        <w:rPr>
          <w:rFonts w:cstheme="minorHAnsi"/>
          <w:sz w:val="24"/>
          <w:szCs w:val="24"/>
        </w:rPr>
        <w:t xml:space="preserve"> just and equitable.</w:t>
      </w:r>
      <w:r w:rsidR="00563259" w:rsidRPr="00946E97">
        <w:rPr>
          <w:rFonts w:cstheme="minorHAnsi"/>
          <w:sz w:val="24"/>
          <w:szCs w:val="24"/>
        </w:rPr>
        <w:t xml:space="preserve"> Section 10 of the Bill addresses lawful processing.</w:t>
      </w:r>
      <w:r w:rsidR="002108F4" w:rsidRPr="00946E97">
        <w:rPr>
          <w:rFonts w:cstheme="minorHAnsi"/>
          <w:sz w:val="24"/>
          <w:szCs w:val="24"/>
        </w:rPr>
        <w:t xml:space="preserve"> Lawfulness is satisfied if consent for processing is granted and considered legitimate. Consent is</w:t>
      </w:r>
      <w:r w:rsidR="00181EC2">
        <w:rPr>
          <w:rFonts w:cstheme="minorHAnsi"/>
          <w:sz w:val="24"/>
          <w:szCs w:val="24"/>
        </w:rPr>
        <w:t xml:space="preserve"> freely given, in clear terms</w:t>
      </w:r>
      <w:r w:rsidR="00911724">
        <w:rPr>
          <w:rFonts w:cstheme="minorHAnsi"/>
          <w:sz w:val="24"/>
          <w:szCs w:val="24"/>
        </w:rPr>
        <w:t xml:space="preserve">, </w:t>
      </w:r>
      <w:r w:rsidR="000D707A">
        <w:rPr>
          <w:rFonts w:cstheme="minorHAnsi"/>
          <w:sz w:val="24"/>
          <w:szCs w:val="24"/>
        </w:rPr>
        <w:t>and can be withdrawn, see analysis Part I of the Bill</w:t>
      </w:r>
      <w:r w:rsidR="00965612" w:rsidRPr="00946E97">
        <w:rPr>
          <w:rFonts w:cstheme="minorHAnsi"/>
          <w:sz w:val="24"/>
          <w:szCs w:val="24"/>
        </w:rPr>
        <w:t>. Transparency requires that data subjects (natural persons) be consulted on data to be collected or used including when it is collected through means such as webcrawling</w:t>
      </w:r>
      <w:r w:rsidR="000A133E" w:rsidRPr="00946E97">
        <w:rPr>
          <w:rFonts w:cstheme="minorHAnsi"/>
          <w:sz w:val="24"/>
          <w:szCs w:val="24"/>
        </w:rPr>
        <w:t>.</w:t>
      </w:r>
      <w:r w:rsidR="00965612" w:rsidRPr="00946E97">
        <w:rPr>
          <w:rFonts w:cstheme="minorHAnsi"/>
          <w:sz w:val="24"/>
          <w:szCs w:val="24"/>
        </w:rPr>
        <w:t xml:space="preserve"> </w:t>
      </w:r>
    </w:p>
    <w:p w14:paraId="1BDAC871" w14:textId="77777777" w:rsidR="007B4F65" w:rsidRPr="00946E97" w:rsidRDefault="00965612" w:rsidP="00D439AE">
      <w:pPr>
        <w:jc w:val="both"/>
        <w:rPr>
          <w:rFonts w:cstheme="minorHAnsi"/>
          <w:sz w:val="24"/>
          <w:szCs w:val="24"/>
        </w:rPr>
      </w:pPr>
      <w:r w:rsidRPr="00946E97">
        <w:rPr>
          <w:rFonts w:cstheme="minorHAnsi"/>
          <w:sz w:val="24"/>
          <w:szCs w:val="24"/>
        </w:rPr>
        <w:t>Data controllers or processors should provide information to data subjects in easily understood language</w:t>
      </w:r>
      <w:r w:rsidR="000D707A">
        <w:rPr>
          <w:rFonts w:cstheme="minorHAnsi"/>
          <w:sz w:val="24"/>
          <w:szCs w:val="24"/>
        </w:rPr>
        <w:t>. The language must be</w:t>
      </w:r>
      <w:r w:rsidRPr="00946E97">
        <w:rPr>
          <w:rFonts w:cstheme="minorHAnsi"/>
          <w:sz w:val="24"/>
          <w:szCs w:val="24"/>
        </w:rPr>
        <w:t xml:space="preserve"> plain and si</w:t>
      </w:r>
      <w:r w:rsidR="000D707A">
        <w:rPr>
          <w:rFonts w:cstheme="minorHAnsi"/>
          <w:sz w:val="24"/>
          <w:szCs w:val="24"/>
        </w:rPr>
        <w:t xml:space="preserve">mple. The records must be in </w:t>
      </w:r>
      <w:r w:rsidRPr="00946E97">
        <w:rPr>
          <w:rFonts w:cstheme="minorHAnsi"/>
          <w:sz w:val="24"/>
          <w:szCs w:val="24"/>
        </w:rPr>
        <w:t xml:space="preserve">accessible formats. </w:t>
      </w:r>
      <w:r w:rsidR="009B27C8" w:rsidRPr="00946E97">
        <w:rPr>
          <w:rFonts w:cstheme="minorHAnsi"/>
          <w:sz w:val="24"/>
          <w:szCs w:val="24"/>
        </w:rPr>
        <w:t xml:space="preserve">Purpose limitation should be clear, meaning that it should be "specified, explicit and legitimate purposes”. </w:t>
      </w:r>
      <w:r w:rsidR="00581D82">
        <w:rPr>
          <w:rFonts w:cstheme="minorHAnsi"/>
          <w:sz w:val="24"/>
          <w:szCs w:val="24"/>
        </w:rPr>
        <w:t xml:space="preserve">The Bill in </w:t>
      </w:r>
      <w:r w:rsidR="000A133E" w:rsidRPr="00946E97">
        <w:rPr>
          <w:rFonts w:cstheme="minorHAnsi"/>
          <w:sz w:val="24"/>
          <w:szCs w:val="24"/>
        </w:rPr>
        <w:t>Part V section</w:t>
      </w:r>
      <w:r w:rsidR="00581D82">
        <w:rPr>
          <w:rFonts w:cstheme="minorHAnsi"/>
          <w:sz w:val="24"/>
          <w:szCs w:val="24"/>
        </w:rPr>
        <w:t xml:space="preserve"> 11 addresses purpose limitation</w:t>
      </w:r>
      <w:r w:rsidR="000A133E" w:rsidRPr="00946E97">
        <w:rPr>
          <w:rFonts w:cstheme="minorHAnsi"/>
          <w:sz w:val="24"/>
          <w:szCs w:val="24"/>
        </w:rPr>
        <w:t xml:space="preserve">. </w:t>
      </w:r>
      <w:r w:rsidR="009B27C8" w:rsidRPr="00946E97">
        <w:rPr>
          <w:rFonts w:cstheme="minorHAnsi"/>
          <w:sz w:val="24"/>
          <w:szCs w:val="24"/>
        </w:rPr>
        <w:t>The purpose limitation is agreed before data is collected</w:t>
      </w:r>
      <w:r w:rsidR="00A51813">
        <w:rPr>
          <w:rFonts w:cstheme="minorHAnsi"/>
          <w:sz w:val="24"/>
          <w:szCs w:val="24"/>
        </w:rPr>
        <w:t xml:space="preserve"> and is enforced throughout</w:t>
      </w:r>
      <w:r w:rsidR="009B27C8" w:rsidRPr="00946E97">
        <w:rPr>
          <w:rFonts w:cstheme="minorHAnsi"/>
          <w:sz w:val="24"/>
          <w:szCs w:val="24"/>
        </w:rPr>
        <w:t xml:space="preserve"> data lifecycle. </w:t>
      </w:r>
    </w:p>
    <w:p w14:paraId="33486221" w14:textId="77777777" w:rsidR="005727AD" w:rsidRPr="00946E97" w:rsidRDefault="009B27C8" w:rsidP="00D439AE">
      <w:pPr>
        <w:jc w:val="both"/>
        <w:rPr>
          <w:rFonts w:cstheme="minorHAnsi"/>
          <w:sz w:val="24"/>
          <w:szCs w:val="24"/>
        </w:rPr>
      </w:pPr>
      <w:r w:rsidRPr="00946E97">
        <w:rPr>
          <w:rFonts w:cstheme="minorHAnsi"/>
          <w:sz w:val="24"/>
          <w:szCs w:val="24"/>
        </w:rPr>
        <w:t xml:space="preserve">Data </w:t>
      </w:r>
      <w:r w:rsidR="005727AD" w:rsidRPr="00946E97">
        <w:rPr>
          <w:rFonts w:cstheme="minorHAnsi"/>
          <w:sz w:val="24"/>
          <w:szCs w:val="24"/>
        </w:rPr>
        <w:t>minimization</w:t>
      </w:r>
      <w:r w:rsidR="001F5865" w:rsidRPr="00946E97">
        <w:rPr>
          <w:rFonts w:cstheme="minorHAnsi"/>
          <w:sz w:val="24"/>
          <w:szCs w:val="24"/>
        </w:rPr>
        <w:t xml:space="preserve"> means </w:t>
      </w:r>
      <w:r w:rsidRPr="00946E97">
        <w:rPr>
          <w:rFonts w:cstheme="minorHAnsi"/>
          <w:sz w:val="24"/>
          <w:szCs w:val="24"/>
        </w:rPr>
        <w:t>the personal data shall be "adequate, relevant and limited to what is necessary in relation to the purposes</w:t>
      </w:r>
      <w:r w:rsidR="00747C04" w:rsidRPr="00946E97">
        <w:rPr>
          <w:rFonts w:cstheme="minorHAnsi"/>
          <w:sz w:val="24"/>
          <w:szCs w:val="24"/>
        </w:rPr>
        <w:t xml:space="preserve"> for which they are processed".</w:t>
      </w:r>
      <w:r w:rsidR="001F5865" w:rsidRPr="00946E97">
        <w:rPr>
          <w:rStyle w:val="FootnoteReference"/>
          <w:rFonts w:cstheme="minorHAnsi"/>
          <w:sz w:val="24"/>
          <w:szCs w:val="24"/>
        </w:rPr>
        <w:footnoteReference w:id="11"/>
      </w:r>
      <w:r w:rsidR="00747C04" w:rsidRPr="00946E97">
        <w:rPr>
          <w:rFonts w:cstheme="minorHAnsi"/>
          <w:sz w:val="24"/>
          <w:szCs w:val="24"/>
        </w:rPr>
        <w:t xml:space="preserve"> </w:t>
      </w:r>
      <w:r w:rsidRPr="00946E97">
        <w:rPr>
          <w:rFonts w:cstheme="minorHAnsi"/>
          <w:sz w:val="24"/>
          <w:szCs w:val="24"/>
        </w:rPr>
        <w:t>Data should be kept "accurate and, whe</w:t>
      </w:r>
      <w:r w:rsidR="000D2220">
        <w:rPr>
          <w:rFonts w:cstheme="minorHAnsi"/>
          <w:sz w:val="24"/>
          <w:szCs w:val="24"/>
        </w:rPr>
        <w:t xml:space="preserve">re necessary, kept up to date" as under </w:t>
      </w:r>
      <w:r w:rsidRPr="00946E97">
        <w:rPr>
          <w:rFonts w:cstheme="minorHAnsi"/>
          <w:sz w:val="24"/>
          <w:szCs w:val="24"/>
        </w:rPr>
        <w:t xml:space="preserve">section </w:t>
      </w:r>
      <w:bookmarkStart w:id="9" w:name="_Hlk42633772"/>
      <w:r w:rsidRPr="00946E97">
        <w:rPr>
          <w:rFonts w:cstheme="minorHAnsi"/>
          <w:sz w:val="24"/>
          <w:szCs w:val="24"/>
        </w:rPr>
        <w:t>9 (1)(b)</w:t>
      </w:r>
      <w:bookmarkEnd w:id="9"/>
      <w:r w:rsidR="000D2220">
        <w:rPr>
          <w:rFonts w:cstheme="minorHAnsi"/>
          <w:sz w:val="24"/>
          <w:szCs w:val="24"/>
        </w:rPr>
        <w:t xml:space="preserve"> of the Bill</w:t>
      </w:r>
      <w:r w:rsidRPr="00946E97">
        <w:rPr>
          <w:rFonts w:cstheme="minorHAnsi"/>
          <w:sz w:val="24"/>
          <w:szCs w:val="24"/>
        </w:rPr>
        <w:t xml:space="preserve">. </w:t>
      </w:r>
      <w:r w:rsidR="007B4F65" w:rsidRPr="00946E97">
        <w:rPr>
          <w:rFonts w:cstheme="minorHAnsi"/>
          <w:sz w:val="24"/>
          <w:szCs w:val="24"/>
        </w:rPr>
        <w:t>Storage limitation is under s 9(1)(c), retained in a form that allows for the identification of data subjects, for no longer than necessary</w:t>
      </w:r>
      <w:r w:rsidR="00877035">
        <w:rPr>
          <w:rStyle w:val="FootnoteReference"/>
          <w:rFonts w:cstheme="minorHAnsi"/>
          <w:sz w:val="24"/>
          <w:szCs w:val="24"/>
        </w:rPr>
        <w:footnoteReference w:id="12"/>
      </w:r>
      <w:r w:rsidR="007B4F65" w:rsidRPr="00946E97">
        <w:rPr>
          <w:rFonts w:cstheme="minorHAnsi"/>
          <w:sz w:val="24"/>
          <w:szCs w:val="24"/>
        </w:rPr>
        <w:t xml:space="preserve"> with a view to the purposes for which the data is collected or further processed. Integrity and confidentiality of data </w:t>
      </w:r>
      <w:r w:rsidR="008C6770" w:rsidRPr="00946E97">
        <w:rPr>
          <w:rFonts w:cstheme="minorHAnsi"/>
          <w:sz w:val="24"/>
          <w:szCs w:val="24"/>
        </w:rPr>
        <w:t>is paramount, including guarding against unauthorized, unlawful processing, accidental loss, destruction using appropriate standards.</w:t>
      </w:r>
      <w:r w:rsidR="00894888" w:rsidRPr="00946E97">
        <w:rPr>
          <w:rStyle w:val="FootnoteReference"/>
          <w:rFonts w:cstheme="minorHAnsi"/>
          <w:sz w:val="24"/>
          <w:szCs w:val="24"/>
        </w:rPr>
        <w:footnoteReference w:id="13"/>
      </w:r>
      <w:r w:rsidR="009649D3" w:rsidRPr="00946E97">
        <w:rPr>
          <w:rFonts w:cstheme="minorHAnsi"/>
          <w:sz w:val="24"/>
          <w:szCs w:val="24"/>
        </w:rPr>
        <w:t xml:space="preserve"> </w:t>
      </w:r>
    </w:p>
    <w:p w14:paraId="7AE965F9" w14:textId="77777777" w:rsidR="002108F4" w:rsidRPr="00946E97" w:rsidRDefault="009649D3" w:rsidP="00D439AE">
      <w:pPr>
        <w:jc w:val="both"/>
        <w:rPr>
          <w:rFonts w:cstheme="minorHAnsi"/>
          <w:sz w:val="24"/>
          <w:szCs w:val="24"/>
        </w:rPr>
      </w:pPr>
      <w:r w:rsidRPr="00946E97">
        <w:rPr>
          <w:rFonts w:cstheme="minorHAnsi"/>
          <w:sz w:val="24"/>
          <w:szCs w:val="24"/>
        </w:rPr>
        <w:t>Accountability as a principle is covere</w:t>
      </w:r>
      <w:r w:rsidR="00E25697">
        <w:rPr>
          <w:rFonts w:cstheme="minorHAnsi"/>
          <w:sz w:val="24"/>
          <w:szCs w:val="24"/>
        </w:rPr>
        <w:t>d under Part VI s 24 (1)(a)-</w:t>
      </w:r>
      <w:r w:rsidRPr="00946E97">
        <w:rPr>
          <w:rFonts w:cstheme="minorHAnsi"/>
          <w:sz w:val="24"/>
          <w:szCs w:val="24"/>
        </w:rPr>
        <w:t xml:space="preserve">(b) of the Bill.  </w:t>
      </w:r>
      <w:r w:rsidR="00094185" w:rsidRPr="00946E97">
        <w:rPr>
          <w:rFonts w:cstheme="minorHAnsi"/>
          <w:sz w:val="24"/>
          <w:szCs w:val="24"/>
        </w:rPr>
        <w:t>Basically,</w:t>
      </w:r>
      <w:r w:rsidRPr="00946E97">
        <w:rPr>
          <w:rFonts w:cstheme="minorHAnsi"/>
          <w:sz w:val="24"/>
          <w:szCs w:val="24"/>
        </w:rPr>
        <w:t xml:space="preserve"> this provision, though further in the Bill is essential to placing the burden of compliance </w:t>
      </w:r>
      <w:r w:rsidR="00E25697">
        <w:rPr>
          <w:rFonts w:cstheme="minorHAnsi"/>
          <w:sz w:val="24"/>
          <w:szCs w:val="24"/>
        </w:rPr>
        <w:t>with data protection p</w:t>
      </w:r>
      <w:r w:rsidRPr="00946E97">
        <w:rPr>
          <w:rFonts w:cstheme="minorHAnsi"/>
          <w:sz w:val="24"/>
          <w:szCs w:val="24"/>
        </w:rPr>
        <w:t xml:space="preserve">rinciples on the controller. The data subject is therefore not required to prove that </w:t>
      </w:r>
      <w:r w:rsidRPr="00946E97">
        <w:rPr>
          <w:rFonts w:cstheme="minorHAnsi"/>
          <w:sz w:val="24"/>
          <w:szCs w:val="24"/>
        </w:rPr>
        <w:lastRenderedPageBreak/>
        <w:t>data protection rights, privacy have been infringed, the data controller must prove that they have been respected and enforced.</w:t>
      </w:r>
    </w:p>
    <w:p w14:paraId="66FA076D" w14:textId="77777777" w:rsidR="000337EE" w:rsidRPr="00946E97" w:rsidRDefault="00E52CD0" w:rsidP="00D439AE">
      <w:pPr>
        <w:jc w:val="both"/>
        <w:rPr>
          <w:rFonts w:cstheme="minorHAnsi"/>
          <w:sz w:val="24"/>
          <w:szCs w:val="24"/>
        </w:rPr>
      </w:pPr>
      <w:r w:rsidRPr="00946E97">
        <w:rPr>
          <w:rFonts w:cstheme="minorHAnsi"/>
          <w:sz w:val="24"/>
          <w:szCs w:val="24"/>
        </w:rPr>
        <w:t>Kenya and Uganda</w:t>
      </w:r>
      <w:r w:rsidR="009A793C" w:rsidRPr="00946E97">
        <w:rPr>
          <w:rFonts w:cstheme="minorHAnsi"/>
          <w:sz w:val="24"/>
          <w:szCs w:val="24"/>
        </w:rPr>
        <w:t xml:space="preserve"> Acts</w:t>
      </w:r>
      <w:r w:rsidRPr="00946E97">
        <w:rPr>
          <w:rFonts w:cstheme="minorHAnsi"/>
          <w:sz w:val="24"/>
          <w:szCs w:val="24"/>
        </w:rPr>
        <w:t xml:space="preserve"> under </w:t>
      </w:r>
      <w:r w:rsidR="00917AEA" w:rsidRPr="00946E97">
        <w:rPr>
          <w:rFonts w:cstheme="minorHAnsi"/>
          <w:sz w:val="24"/>
          <w:szCs w:val="24"/>
        </w:rPr>
        <w:t xml:space="preserve">sections </w:t>
      </w:r>
      <w:r w:rsidR="009A793C" w:rsidRPr="00946E97">
        <w:rPr>
          <w:rFonts w:cstheme="minorHAnsi"/>
          <w:sz w:val="24"/>
          <w:szCs w:val="24"/>
        </w:rPr>
        <w:t xml:space="preserve">25 (a)-(h), and </w:t>
      </w:r>
      <w:r w:rsidRPr="00946E97">
        <w:rPr>
          <w:rFonts w:cstheme="minorHAnsi"/>
          <w:sz w:val="24"/>
          <w:szCs w:val="24"/>
        </w:rPr>
        <w:t xml:space="preserve">sections </w:t>
      </w:r>
      <w:r w:rsidR="00917AEA" w:rsidRPr="00946E97">
        <w:rPr>
          <w:rFonts w:cstheme="minorHAnsi"/>
          <w:sz w:val="24"/>
          <w:szCs w:val="24"/>
        </w:rPr>
        <w:t>3(1)(a)-(g)</w:t>
      </w:r>
      <w:r w:rsidR="009A793C" w:rsidRPr="00946E97">
        <w:rPr>
          <w:rStyle w:val="FootnoteReference"/>
          <w:rFonts w:cstheme="minorHAnsi"/>
          <w:sz w:val="24"/>
          <w:szCs w:val="24"/>
        </w:rPr>
        <w:footnoteReference w:id="14"/>
      </w:r>
      <w:r w:rsidR="009A793C" w:rsidRPr="00946E97">
        <w:rPr>
          <w:rFonts w:cstheme="minorHAnsi"/>
          <w:sz w:val="24"/>
          <w:szCs w:val="24"/>
        </w:rPr>
        <w:t>, respectively, inc</w:t>
      </w:r>
      <w:r w:rsidR="00563259" w:rsidRPr="00946E97">
        <w:rPr>
          <w:rFonts w:cstheme="minorHAnsi"/>
          <w:sz w:val="24"/>
          <w:szCs w:val="24"/>
        </w:rPr>
        <w:t xml:space="preserve">orporates the GDPR principles with a </w:t>
      </w:r>
      <w:r w:rsidR="00E80913">
        <w:rPr>
          <w:rFonts w:cstheme="minorHAnsi"/>
          <w:sz w:val="24"/>
          <w:szCs w:val="24"/>
        </w:rPr>
        <w:t>few modifications</w:t>
      </w:r>
      <w:r w:rsidR="003520A3">
        <w:rPr>
          <w:rFonts w:cstheme="minorHAnsi"/>
          <w:sz w:val="24"/>
          <w:szCs w:val="24"/>
        </w:rPr>
        <w:t xml:space="preserve"> and additions</w:t>
      </w:r>
      <w:r w:rsidR="009A793C" w:rsidRPr="00946E97">
        <w:rPr>
          <w:rFonts w:cstheme="minorHAnsi"/>
          <w:sz w:val="24"/>
          <w:szCs w:val="24"/>
        </w:rPr>
        <w:t>. Kenya adds (h) that the data should not be “transferred outside Kenya, unless there is proof of adequate data protection safeguards or consent from the data subject”.</w:t>
      </w:r>
    </w:p>
    <w:p w14:paraId="20FBD81C" w14:textId="77777777" w:rsidR="00FA3D79" w:rsidRPr="00946E97" w:rsidRDefault="00FA3D79" w:rsidP="00D439AE">
      <w:pPr>
        <w:jc w:val="both"/>
        <w:rPr>
          <w:rFonts w:cstheme="minorHAnsi"/>
          <w:sz w:val="24"/>
          <w:szCs w:val="24"/>
        </w:rPr>
      </w:pPr>
      <w:r w:rsidRPr="00946E97">
        <w:rPr>
          <w:rFonts w:cstheme="minorHAnsi"/>
          <w:b/>
          <w:i/>
          <w:sz w:val="24"/>
          <w:szCs w:val="24"/>
        </w:rPr>
        <w:t>R</w:t>
      </w:r>
      <w:r w:rsidR="00E52CD0" w:rsidRPr="00946E97">
        <w:rPr>
          <w:rFonts w:cstheme="minorHAnsi"/>
          <w:b/>
          <w:i/>
          <w:sz w:val="24"/>
          <w:szCs w:val="24"/>
        </w:rPr>
        <w:t>e</w:t>
      </w:r>
      <w:r w:rsidRPr="00946E97">
        <w:rPr>
          <w:rFonts w:cstheme="minorHAnsi"/>
          <w:b/>
          <w:i/>
          <w:sz w:val="24"/>
          <w:szCs w:val="24"/>
        </w:rPr>
        <w:t>commendation</w:t>
      </w:r>
      <w:r w:rsidR="00E52CD0" w:rsidRPr="00946E97">
        <w:rPr>
          <w:rFonts w:cstheme="minorHAnsi"/>
          <w:sz w:val="24"/>
          <w:szCs w:val="24"/>
        </w:rPr>
        <w:t>: Part IV should clearly spell out the principles of data protection, and that these are applicable to the data controller, and any other person in their con</w:t>
      </w:r>
      <w:r w:rsidR="005015B6">
        <w:rPr>
          <w:rFonts w:cstheme="minorHAnsi"/>
          <w:sz w:val="24"/>
          <w:szCs w:val="24"/>
        </w:rPr>
        <w:t xml:space="preserve">trol or authority including </w:t>
      </w:r>
      <w:r w:rsidR="00E52CD0" w:rsidRPr="00946E97">
        <w:rPr>
          <w:rFonts w:cstheme="minorHAnsi"/>
          <w:sz w:val="24"/>
          <w:szCs w:val="24"/>
        </w:rPr>
        <w:t xml:space="preserve">data processor. </w:t>
      </w:r>
      <w:r w:rsidR="001D3384" w:rsidRPr="00946E97">
        <w:rPr>
          <w:rFonts w:cstheme="minorHAnsi"/>
          <w:sz w:val="24"/>
          <w:szCs w:val="24"/>
        </w:rPr>
        <w:t xml:space="preserve">These principles can be further expanded in the Bill as it relates to </w:t>
      </w:r>
      <w:r w:rsidR="00003CE9" w:rsidRPr="00946E97">
        <w:rPr>
          <w:rFonts w:cstheme="minorHAnsi"/>
          <w:sz w:val="24"/>
          <w:szCs w:val="24"/>
        </w:rPr>
        <w:t>aspects</w:t>
      </w:r>
      <w:r w:rsidR="001D3384" w:rsidRPr="00946E97">
        <w:rPr>
          <w:rFonts w:cstheme="minorHAnsi"/>
          <w:sz w:val="24"/>
          <w:szCs w:val="24"/>
        </w:rPr>
        <w:t xml:space="preserve"> of processing data for instance, on issues of consent, processing of sensitive data</w:t>
      </w:r>
      <w:r w:rsidR="000C208F">
        <w:rPr>
          <w:rFonts w:cstheme="minorHAnsi"/>
          <w:sz w:val="24"/>
          <w:szCs w:val="24"/>
        </w:rPr>
        <w:t xml:space="preserve"> and automated processing of dat</w:t>
      </w:r>
      <w:r w:rsidR="000D527B">
        <w:rPr>
          <w:rFonts w:cstheme="minorHAnsi"/>
          <w:sz w:val="24"/>
          <w:szCs w:val="24"/>
        </w:rPr>
        <w:t>a</w:t>
      </w:r>
      <w:r w:rsidR="001D3384" w:rsidRPr="00946E97">
        <w:rPr>
          <w:rFonts w:cstheme="minorHAnsi"/>
          <w:sz w:val="24"/>
          <w:szCs w:val="24"/>
        </w:rPr>
        <w:t>. These principles can be placed before the functions or designation of the DPA/Authority as they constitute the foundation of DPA/Authority’</w:t>
      </w:r>
      <w:r w:rsidR="00B00BAA" w:rsidRPr="00946E97">
        <w:rPr>
          <w:rFonts w:cstheme="minorHAnsi"/>
          <w:sz w:val="24"/>
          <w:szCs w:val="24"/>
        </w:rPr>
        <w:t>s function</w:t>
      </w:r>
      <w:r w:rsidR="001D3384" w:rsidRPr="00946E97">
        <w:rPr>
          <w:rFonts w:cstheme="minorHAnsi"/>
          <w:sz w:val="24"/>
          <w:szCs w:val="24"/>
        </w:rPr>
        <w:t xml:space="preserve"> and mandate. </w:t>
      </w:r>
      <w:r w:rsidR="000D527B">
        <w:rPr>
          <w:rFonts w:cstheme="minorHAnsi"/>
          <w:sz w:val="24"/>
          <w:szCs w:val="24"/>
        </w:rPr>
        <w:t>The current draft</w:t>
      </w:r>
      <w:r w:rsidR="00203C5B">
        <w:rPr>
          <w:rFonts w:cstheme="minorHAnsi"/>
          <w:sz w:val="24"/>
          <w:szCs w:val="24"/>
        </w:rPr>
        <w:t xml:space="preserve">ing makes data subject rights </w:t>
      </w:r>
      <w:r w:rsidR="000D527B">
        <w:rPr>
          <w:rFonts w:cstheme="minorHAnsi"/>
          <w:sz w:val="24"/>
          <w:szCs w:val="24"/>
        </w:rPr>
        <w:t>afterthoughts and hidden in the Bill’</w:t>
      </w:r>
      <w:r w:rsidR="00203C5B">
        <w:rPr>
          <w:rFonts w:cstheme="minorHAnsi"/>
          <w:sz w:val="24"/>
          <w:szCs w:val="24"/>
        </w:rPr>
        <w:t>s text.</w:t>
      </w:r>
    </w:p>
    <w:p w14:paraId="789E7925" w14:textId="77777777" w:rsidR="00D166FB" w:rsidRPr="005A1CAD" w:rsidRDefault="00D166FB" w:rsidP="005A1CAD">
      <w:pPr>
        <w:pStyle w:val="ListParagraph"/>
        <w:numPr>
          <w:ilvl w:val="0"/>
          <w:numId w:val="11"/>
        </w:numPr>
        <w:jc w:val="both"/>
        <w:rPr>
          <w:rFonts w:cstheme="minorHAnsi"/>
          <w:b/>
          <w:sz w:val="24"/>
          <w:szCs w:val="24"/>
        </w:rPr>
      </w:pPr>
      <w:r w:rsidRPr="005A1CAD">
        <w:rPr>
          <w:rFonts w:cstheme="minorHAnsi"/>
          <w:b/>
          <w:sz w:val="24"/>
          <w:szCs w:val="24"/>
        </w:rPr>
        <w:t>Processing of non-sensitive data</w:t>
      </w:r>
    </w:p>
    <w:p w14:paraId="729A6B83" w14:textId="77777777" w:rsidR="00160200" w:rsidRPr="005A1CAD" w:rsidRDefault="00160200" w:rsidP="005A1CAD">
      <w:pPr>
        <w:pStyle w:val="ListParagraph"/>
        <w:numPr>
          <w:ilvl w:val="0"/>
          <w:numId w:val="12"/>
        </w:numPr>
        <w:jc w:val="both"/>
        <w:rPr>
          <w:rFonts w:cstheme="minorHAnsi"/>
          <w:sz w:val="24"/>
          <w:szCs w:val="24"/>
        </w:rPr>
      </w:pPr>
      <w:r w:rsidRPr="005A1CAD">
        <w:rPr>
          <w:rFonts w:cstheme="minorHAnsi"/>
          <w:b/>
          <w:i/>
          <w:sz w:val="24"/>
          <w:szCs w:val="24"/>
        </w:rPr>
        <w:t>Issue</w:t>
      </w:r>
      <w:r w:rsidRPr="005A1CAD">
        <w:rPr>
          <w:rFonts w:cstheme="minorHAnsi"/>
          <w:sz w:val="24"/>
          <w:szCs w:val="24"/>
        </w:rPr>
        <w:t>: processing of non-sensitive data</w:t>
      </w:r>
    </w:p>
    <w:p w14:paraId="291B7029" w14:textId="77777777" w:rsidR="00160200" w:rsidRPr="00946E97" w:rsidRDefault="00160200" w:rsidP="00D439AE">
      <w:pPr>
        <w:jc w:val="both"/>
        <w:rPr>
          <w:rFonts w:cstheme="minorHAnsi"/>
          <w:sz w:val="24"/>
          <w:szCs w:val="24"/>
        </w:rPr>
      </w:pPr>
      <w:r w:rsidRPr="00946E97">
        <w:rPr>
          <w:rFonts w:cstheme="minorHAnsi"/>
          <w:b/>
          <w:i/>
          <w:sz w:val="24"/>
          <w:szCs w:val="24"/>
        </w:rPr>
        <w:t>Discussion</w:t>
      </w:r>
      <w:r w:rsidRPr="00946E97">
        <w:rPr>
          <w:rFonts w:cstheme="minorHAnsi"/>
          <w:sz w:val="24"/>
          <w:szCs w:val="24"/>
        </w:rPr>
        <w:t xml:space="preserve">: </w:t>
      </w:r>
      <w:r w:rsidR="00D905FD">
        <w:rPr>
          <w:rFonts w:cstheme="minorHAnsi"/>
          <w:sz w:val="24"/>
          <w:szCs w:val="24"/>
        </w:rPr>
        <w:t>S</w:t>
      </w:r>
      <w:r w:rsidRPr="00946E97">
        <w:rPr>
          <w:rFonts w:cstheme="minorHAnsi"/>
          <w:sz w:val="24"/>
          <w:szCs w:val="24"/>
        </w:rPr>
        <w:t>ection 12 (3) allows for processing of non-sensitive data without the consent of the data subject in certain circumstances. Section 12(3)(d) indicates such sensitive data can processed without consent, for purposes of “performing a task carried out in the public interest…” and (e) “promoting the legitimate interests of the controller or a third party to whom the data is disclosed, except where such interests are overridden by the interests or fundamental rights and freedoms of the data subject claiming protection under this Act”.</w:t>
      </w:r>
    </w:p>
    <w:p w14:paraId="1CAA9A35" w14:textId="77777777" w:rsidR="00AE58FD" w:rsidRPr="00946E97" w:rsidRDefault="002316F2" w:rsidP="00D439AE">
      <w:pPr>
        <w:jc w:val="both"/>
        <w:rPr>
          <w:rFonts w:cstheme="minorHAnsi"/>
          <w:sz w:val="24"/>
          <w:szCs w:val="24"/>
        </w:rPr>
      </w:pPr>
      <w:r>
        <w:rPr>
          <w:rFonts w:cstheme="minorHAnsi"/>
          <w:sz w:val="24"/>
          <w:szCs w:val="24"/>
        </w:rPr>
        <w:t>A few issues to consider with</w:t>
      </w:r>
      <w:r w:rsidR="00160200" w:rsidRPr="00946E97">
        <w:rPr>
          <w:rFonts w:cstheme="minorHAnsi"/>
          <w:sz w:val="24"/>
          <w:szCs w:val="24"/>
        </w:rPr>
        <w:t xml:space="preserve"> s 12(3)(d) and (e) as currently framed. First, public interest has attracted a wide definition and application. </w:t>
      </w:r>
      <w:r w:rsidR="00AE58FD" w:rsidRPr="00946E97">
        <w:rPr>
          <w:rFonts w:cstheme="minorHAnsi"/>
          <w:sz w:val="24"/>
          <w:szCs w:val="24"/>
        </w:rPr>
        <w:t>Absence of a definition of public interest removes</w:t>
      </w:r>
      <w:r w:rsidR="00D85ECB" w:rsidRPr="00946E97">
        <w:rPr>
          <w:rFonts w:cstheme="minorHAnsi"/>
          <w:sz w:val="24"/>
          <w:szCs w:val="24"/>
        </w:rPr>
        <w:t xml:space="preserve"> clarity and lends itself to broad inter</w:t>
      </w:r>
      <w:r w:rsidR="00F72A0E">
        <w:rPr>
          <w:rFonts w:cstheme="minorHAnsi"/>
          <w:sz w:val="24"/>
          <w:szCs w:val="24"/>
        </w:rPr>
        <w:t>pretation, if not</w:t>
      </w:r>
      <w:r w:rsidR="00D85ECB" w:rsidRPr="00946E97">
        <w:rPr>
          <w:rFonts w:cstheme="minorHAnsi"/>
          <w:sz w:val="24"/>
          <w:szCs w:val="24"/>
        </w:rPr>
        <w:t xml:space="preserve"> abuse. </w:t>
      </w:r>
      <w:r w:rsidR="00CD5E4A">
        <w:rPr>
          <w:rFonts w:cstheme="minorHAnsi"/>
          <w:sz w:val="24"/>
          <w:szCs w:val="24"/>
        </w:rPr>
        <w:t>A</w:t>
      </w:r>
      <w:r w:rsidR="00AF4218" w:rsidRPr="00946E97">
        <w:rPr>
          <w:rFonts w:cstheme="minorHAnsi"/>
          <w:sz w:val="24"/>
          <w:szCs w:val="24"/>
        </w:rPr>
        <w:t>uthorities should not be given this wide l</w:t>
      </w:r>
      <w:r w:rsidR="00041EBD" w:rsidRPr="00946E97">
        <w:rPr>
          <w:rFonts w:cstheme="minorHAnsi"/>
          <w:sz w:val="24"/>
          <w:szCs w:val="24"/>
        </w:rPr>
        <w:t>atitude to process non-</w:t>
      </w:r>
      <w:r w:rsidR="00AF4218" w:rsidRPr="00946E97">
        <w:rPr>
          <w:rFonts w:cstheme="minorHAnsi"/>
          <w:sz w:val="24"/>
          <w:szCs w:val="24"/>
        </w:rPr>
        <w:t xml:space="preserve">sensitive data without </w:t>
      </w:r>
      <w:r w:rsidR="00CD5E4A">
        <w:rPr>
          <w:rFonts w:cstheme="minorHAnsi"/>
          <w:sz w:val="24"/>
          <w:szCs w:val="24"/>
        </w:rPr>
        <w:t>sufficient guard rails</w:t>
      </w:r>
      <w:r w:rsidR="00AF4218" w:rsidRPr="00946E97">
        <w:rPr>
          <w:rFonts w:cstheme="minorHAnsi"/>
          <w:sz w:val="24"/>
          <w:szCs w:val="24"/>
        </w:rPr>
        <w:t>.</w:t>
      </w:r>
    </w:p>
    <w:p w14:paraId="57EA9767" w14:textId="77777777" w:rsidR="00874945" w:rsidRDefault="00160200" w:rsidP="00D439AE">
      <w:pPr>
        <w:jc w:val="both"/>
        <w:rPr>
          <w:rFonts w:cstheme="minorHAnsi"/>
          <w:sz w:val="24"/>
          <w:szCs w:val="24"/>
        </w:rPr>
      </w:pPr>
      <w:r w:rsidRPr="00946E97">
        <w:rPr>
          <w:rFonts w:cstheme="minorHAnsi"/>
          <w:b/>
          <w:i/>
          <w:sz w:val="24"/>
          <w:szCs w:val="24"/>
        </w:rPr>
        <w:t>Recommendation</w:t>
      </w:r>
      <w:r w:rsidR="00D85ECB" w:rsidRPr="00946E97">
        <w:rPr>
          <w:rFonts w:cstheme="minorHAnsi"/>
          <w:sz w:val="24"/>
          <w:szCs w:val="24"/>
        </w:rPr>
        <w:t xml:space="preserve">: </w:t>
      </w:r>
      <w:r w:rsidR="00F41DF4">
        <w:rPr>
          <w:rFonts w:cstheme="minorHAnsi"/>
          <w:sz w:val="24"/>
          <w:szCs w:val="24"/>
        </w:rPr>
        <w:t>S</w:t>
      </w:r>
      <w:r w:rsidR="00D85ECB" w:rsidRPr="00946E97">
        <w:rPr>
          <w:rFonts w:cstheme="minorHAnsi"/>
          <w:sz w:val="24"/>
          <w:szCs w:val="24"/>
        </w:rPr>
        <w:t xml:space="preserve">ection 12 (3)(d) should list the specific issues that constitute or qualify as public interest. </w:t>
      </w:r>
      <w:r w:rsidR="002B7BAB" w:rsidRPr="00946E97">
        <w:rPr>
          <w:rFonts w:cstheme="minorHAnsi"/>
          <w:sz w:val="24"/>
          <w:szCs w:val="24"/>
        </w:rPr>
        <w:t>For s 12(3)(e)</w:t>
      </w:r>
      <w:r w:rsidR="00F41DF4">
        <w:rPr>
          <w:rFonts w:cstheme="minorHAnsi"/>
          <w:sz w:val="24"/>
          <w:szCs w:val="24"/>
        </w:rPr>
        <w:t>,</w:t>
      </w:r>
      <w:r w:rsidR="002B7BAB" w:rsidRPr="00946E97">
        <w:rPr>
          <w:rFonts w:cstheme="minorHAnsi"/>
          <w:sz w:val="24"/>
          <w:szCs w:val="24"/>
        </w:rPr>
        <w:t xml:space="preserve"> the drafters should provide guidance on interpretation and application to remove any prejudice or harm being suffered by the data subject if there </w:t>
      </w:r>
      <w:r w:rsidR="00AF4218" w:rsidRPr="00946E97">
        <w:rPr>
          <w:rFonts w:cstheme="minorHAnsi"/>
          <w:sz w:val="24"/>
          <w:szCs w:val="24"/>
        </w:rPr>
        <w:t>is doubt in balancing interests</w:t>
      </w:r>
      <w:r w:rsidR="002B7BAB" w:rsidRPr="00946E97">
        <w:rPr>
          <w:rFonts w:cstheme="minorHAnsi"/>
          <w:sz w:val="24"/>
          <w:szCs w:val="24"/>
        </w:rPr>
        <w:t xml:space="preserve">. </w:t>
      </w:r>
      <w:r w:rsidR="00874945" w:rsidRPr="00946E97">
        <w:rPr>
          <w:rFonts w:cstheme="minorHAnsi"/>
          <w:sz w:val="24"/>
          <w:szCs w:val="24"/>
        </w:rPr>
        <w:t xml:space="preserve">Section 12(4) stipulates that conditions indicating satisfaction with subsection (3) may be outlined. This is not enough. The data controller and processor have onus </w:t>
      </w:r>
      <w:r w:rsidR="00874945" w:rsidRPr="00946E97">
        <w:rPr>
          <w:rFonts w:cstheme="minorHAnsi"/>
          <w:sz w:val="24"/>
          <w:szCs w:val="24"/>
        </w:rPr>
        <w:lastRenderedPageBreak/>
        <w:t xml:space="preserve">of proving that their actions are for the protection of personal data and privacy. The conditions </w:t>
      </w:r>
      <w:r w:rsidR="003A2F5C">
        <w:rPr>
          <w:rFonts w:cstheme="minorHAnsi"/>
          <w:sz w:val="24"/>
          <w:szCs w:val="24"/>
        </w:rPr>
        <w:t>must be</w:t>
      </w:r>
      <w:r w:rsidR="00874945" w:rsidRPr="00946E97">
        <w:rPr>
          <w:rFonts w:cstheme="minorHAnsi"/>
          <w:sz w:val="24"/>
          <w:szCs w:val="24"/>
        </w:rPr>
        <w:t xml:space="preserve"> outlined in the regulations </w:t>
      </w:r>
      <w:r w:rsidR="003A2F5C">
        <w:rPr>
          <w:rFonts w:cstheme="minorHAnsi"/>
          <w:sz w:val="24"/>
          <w:szCs w:val="24"/>
        </w:rPr>
        <w:t xml:space="preserve">and codes of conduct </w:t>
      </w:r>
      <w:r w:rsidR="00874945" w:rsidRPr="00946E97">
        <w:rPr>
          <w:rFonts w:cstheme="minorHAnsi"/>
          <w:sz w:val="24"/>
          <w:szCs w:val="24"/>
        </w:rPr>
        <w:t>to avoid abuse and inconsistent interpretation.</w:t>
      </w:r>
    </w:p>
    <w:p w14:paraId="5DBF3471" w14:textId="77777777" w:rsidR="00F41DF4" w:rsidRPr="00946E97" w:rsidRDefault="00F41DF4" w:rsidP="00D439AE">
      <w:pPr>
        <w:jc w:val="both"/>
        <w:rPr>
          <w:rFonts w:cstheme="minorHAnsi"/>
          <w:sz w:val="24"/>
          <w:szCs w:val="24"/>
        </w:rPr>
      </w:pPr>
    </w:p>
    <w:p w14:paraId="0B4BADB8" w14:textId="77777777" w:rsidR="00E9475E" w:rsidRPr="005A1CAD" w:rsidRDefault="00E9475E" w:rsidP="005A1CAD">
      <w:pPr>
        <w:pStyle w:val="ListParagraph"/>
        <w:numPr>
          <w:ilvl w:val="0"/>
          <w:numId w:val="12"/>
        </w:numPr>
        <w:jc w:val="both"/>
        <w:rPr>
          <w:rFonts w:cstheme="minorHAnsi"/>
          <w:sz w:val="24"/>
          <w:szCs w:val="24"/>
        </w:rPr>
      </w:pPr>
      <w:r w:rsidRPr="005A1CAD">
        <w:rPr>
          <w:rFonts w:cstheme="minorHAnsi"/>
          <w:b/>
          <w:i/>
          <w:sz w:val="24"/>
          <w:szCs w:val="24"/>
        </w:rPr>
        <w:t>Issue</w:t>
      </w:r>
      <w:r w:rsidRPr="005A1CAD">
        <w:rPr>
          <w:rFonts w:cstheme="minorHAnsi"/>
          <w:sz w:val="24"/>
          <w:szCs w:val="24"/>
        </w:rPr>
        <w:t xml:space="preserve">: </w:t>
      </w:r>
      <w:r w:rsidR="00F41DF4" w:rsidRPr="005A1CAD">
        <w:rPr>
          <w:rFonts w:cstheme="minorHAnsi"/>
          <w:sz w:val="24"/>
          <w:szCs w:val="24"/>
        </w:rPr>
        <w:t>S</w:t>
      </w:r>
      <w:r w:rsidR="006F402C" w:rsidRPr="005A1CAD">
        <w:rPr>
          <w:rFonts w:cstheme="minorHAnsi"/>
          <w:sz w:val="24"/>
          <w:szCs w:val="24"/>
        </w:rPr>
        <w:t>ensitive</w:t>
      </w:r>
      <w:r w:rsidRPr="005A1CAD">
        <w:rPr>
          <w:rFonts w:cstheme="minorHAnsi"/>
          <w:sz w:val="24"/>
          <w:szCs w:val="24"/>
        </w:rPr>
        <w:t xml:space="preserve"> data</w:t>
      </w:r>
      <w:r w:rsidR="006F402C" w:rsidRPr="005A1CAD">
        <w:rPr>
          <w:rFonts w:cstheme="minorHAnsi"/>
          <w:sz w:val="24"/>
          <w:szCs w:val="24"/>
        </w:rPr>
        <w:t xml:space="preserve"> under s 13 (1)(a)-(b) should be processed under conditions of consent in writing which can be wit</w:t>
      </w:r>
      <w:r w:rsidR="00D1495B" w:rsidRPr="005A1CAD">
        <w:rPr>
          <w:rFonts w:cstheme="minorHAnsi"/>
          <w:sz w:val="24"/>
          <w:szCs w:val="24"/>
        </w:rPr>
        <w:t xml:space="preserve">hdrawn, at any time. </w:t>
      </w:r>
    </w:p>
    <w:p w14:paraId="71541713" w14:textId="77777777" w:rsidR="00541D9C" w:rsidRDefault="00E9475E" w:rsidP="00D439AE">
      <w:pPr>
        <w:jc w:val="both"/>
        <w:rPr>
          <w:rFonts w:cstheme="minorHAnsi"/>
          <w:sz w:val="24"/>
          <w:szCs w:val="24"/>
        </w:rPr>
      </w:pPr>
      <w:r w:rsidRPr="00946E97">
        <w:rPr>
          <w:rFonts w:cstheme="minorHAnsi"/>
          <w:b/>
          <w:i/>
          <w:sz w:val="24"/>
          <w:szCs w:val="24"/>
        </w:rPr>
        <w:t>Discussion</w:t>
      </w:r>
      <w:r w:rsidRPr="00946E97">
        <w:rPr>
          <w:rFonts w:cstheme="minorHAnsi"/>
          <w:sz w:val="24"/>
          <w:szCs w:val="24"/>
        </w:rPr>
        <w:t>:</w:t>
      </w:r>
      <w:r w:rsidR="00D1495B" w:rsidRPr="00946E97">
        <w:rPr>
          <w:rFonts w:cstheme="minorHAnsi"/>
          <w:sz w:val="24"/>
          <w:szCs w:val="24"/>
        </w:rPr>
        <w:t xml:space="preserve"> </w:t>
      </w:r>
      <w:r w:rsidR="005F5CFB" w:rsidRPr="00946E97">
        <w:rPr>
          <w:rFonts w:cstheme="minorHAnsi"/>
          <w:sz w:val="24"/>
          <w:szCs w:val="24"/>
        </w:rPr>
        <w:t xml:space="preserve">Section 13 (2) has several exceptions to consent which presents difficulties as discussed below. Of note is s 13 (2) (b), (d), and (f) which focus on vital interests of the data subject or another person, national security and data in public domain respectively. Section 13 (2)(a) speaks of specific rights of the controller in the field of unemployment law”, this is potentially misleading. </w:t>
      </w:r>
      <w:r w:rsidR="005F5CFB">
        <w:rPr>
          <w:rFonts w:cstheme="minorHAnsi"/>
          <w:sz w:val="24"/>
          <w:szCs w:val="24"/>
        </w:rPr>
        <w:t>V</w:t>
      </w:r>
      <w:r w:rsidR="00BF1B95" w:rsidRPr="00946E97">
        <w:rPr>
          <w:rFonts w:cstheme="minorHAnsi"/>
          <w:sz w:val="24"/>
          <w:szCs w:val="24"/>
        </w:rPr>
        <w:t xml:space="preserve">ital interests of data subject or another person is considerably a wide framing and can be abused, especially in the absence of guidelines. </w:t>
      </w:r>
    </w:p>
    <w:p w14:paraId="42062CB0" w14:textId="77777777" w:rsidR="006F402C" w:rsidRDefault="00BF1B95" w:rsidP="00D439AE">
      <w:pPr>
        <w:jc w:val="both"/>
        <w:rPr>
          <w:rFonts w:cstheme="minorHAnsi"/>
          <w:sz w:val="24"/>
          <w:szCs w:val="24"/>
        </w:rPr>
      </w:pPr>
      <w:r w:rsidRPr="00946E97">
        <w:rPr>
          <w:rFonts w:cstheme="minorHAnsi"/>
          <w:sz w:val="24"/>
          <w:szCs w:val="24"/>
        </w:rPr>
        <w:t xml:space="preserve">The </w:t>
      </w:r>
      <w:r w:rsidR="00D1495B" w:rsidRPr="00946E97">
        <w:rPr>
          <w:rFonts w:cstheme="minorHAnsi"/>
          <w:sz w:val="24"/>
          <w:szCs w:val="24"/>
        </w:rPr>
        <w:t xml:space="preserve">use of wide exemptions that cover “national security” or “public order” </w:t>
      </w:r>
      <w:r w:rsidRPr="00946E97">
        <w:rPr>
          <w:rFonts w:cstheme="minorHAnsi"/>
          <w:sz w:val="24"/>
          <w:szCs w:val="24"/>
        </w:rPr>
        <w:t xml:space="preserve">is problematic, hence </w:t>
      </w:r>
      <w:r w:rsidR="00D1495B" w:rsidRPr="00946E97">
        <w:rPr>
          <w:rFonts w:cstheme="minorHAnsi"/>
          <w:sz w:val="24"/>
          <w:szCs w:val="24"/>
        </w:rPr>
        <w:t xml:space="preserve">not recommended. History has shown that such framing lends itself to abuse. </w:t>
      </w:r>
      <w:r w:rsidR="007E6E4C">
        <w:rPr>
          <w:rFonts w:cstheme="minorHAnsi"/>
          <w:sz w:val="24"/>
          <w:szCs w:val="24"/>
        </w:rPr>
        <w:t>When the exemptions are applied they must</w:t>
      </w:r>
      <w:r w:rsidR="008B4B3A" w:rsidRPr="00946E97">
        <w:rPr>
          <w:rFonts w:cstheme="minorHAnsi"/>
          <w:sz w:val="24"/>
          <w:szCs w:val="24"/>
        </w:rPr>
        <w:t xml:space="preserve"> be justifiable and necessary. </w:t>
      </w:r>
      <w:r w:rsidR="009506FC" w:rsidRPr="00946E97">
        <w:rPr>
          <w:rFonts w:cstheme="minorHAnsi"/>
          <w:sz w:val="24"/>
          <w:szCs w:val="24"/>
        </w:rPr>
        <w:t>The Bill suggests that since data is already in the public domain it is subject to processing without</w:t>
      </w:r>
      <w:r w:rsidR="00EB5FA8">
        <w:rPr>
          <w:rFonts w:cstheme="minorHAnsi"/>
          <w:sz w:val="24"/>
          <w:szCs w:val="24"/>
        </w:rPr>
        <w:t xml:space="preserve"> the data subjects’ consen</w:t>
      </w:r>
      <w:r w:rsidR="009506FC" w:rsidRPr="00946E97">
        <w:rPr>
          <w:rFonts w:cstheme="minorHAnsi"/>
          <w:sz w:val="24"/>
          <w:szCs w:val="24"/>
        </w:rPr>
        <w:t xml:space="preserve">t. This </w:t>
      </w:r>
      <w:r w:rsidR="00EB5FA8">
        <w:rPr>
          <w:rFonts w:cstheme="minorHAnsi"/>
          <w:sz w:val="24"/>
          <w:szCs w:val="24"/>
        </w:rPr>
        <w:t xml:space="preserve">has </w:t>
      </w:r>
      <w:r w:rsidR="0007547F">
        <w:rPr>
          <w:rFonts w:cstheme="minorHAnsi"/>
          <w:sz w:val="24"/>
          <w:szCs w:val="24"/>
        </w:rPr>
        <w:t>grave implications. First, the</w:t>
      </w:r>
      <w:r w:rsidR="009506FC" w:rsidRPr="00946E97">
        <w:rPr>
          <w:rFonts w:cstheme="minorHAnsi"/>
          <w:sz w:val="24"/>
          <w:szCs w:val="24"/>
        </w:rPr>
        <w:t xml:space="preserve"> data subject might have placed it in the public domain for a specific purpose that it had been processed for. Now that the data is a public record or in the public domain even with the consent of the data subject does not extend to further processing</w:t>
      </w:r>
      <w:r w:rsidR="00F10BFF">
        <w:rPr>
          <w:rFonts w:cstheme="minorHAnsi"/>
          <w:sz w:val="24"/>
          <w:szCs w:val="24"/>
        </w:rPr>
        <w:t xml:space="preserve"> of any kind</w:t>
      </w:r>
      <w:r w:rsidR="009506FC" w:rsidRPr="00946E97">
        <w:rPr>
          <w:rFonts w:cstheme="minorHAnsi"/>
          <w:sz w:val="24"/>
          <w:szCs w:val="24"/>
        </w:rPr>
        <w:t>.</w:t>
      </w:r>
      <w:r w:rsidR="00C04043">
        <w:rPr>
          <w:rFonts w:cstheme="minorHAnsi"/>
          <w:sz w:val="24"/>
          <w:szCs w:val="24"/>
        </w:rPr>
        <w:t xml:space="preserve"> </w:t>
      </w:r>
      <w:r w:rsidR="00D8305D" w:rsidRPr="00946E97">
        <w:rPr>
          <w:rFonts w:cstheme="minorHAnsi"/>
          <w:sz w:val="24"/>
          <w:szCs w:val="24"/>
        </w:rPr>
        <w:t xml:space="preserve">A data controller in the </w:t>
      </w:r>
      <w:r w:rsidR="00312228" w:rsidRPr="00946E97">
        <w:rPr>
          <w:rFonts w:cstheme="minorHAnsi"/>
          <w:sz w:val="24"/>
          <w:szCs w:val="24"/>
        </w:rPr>
        <w:t xml:space="preserve">employment </w:t>
      </w:r>
      <w:r w:rsidR="00D8305D" w:rsidRPr="00946E97">
        <w:rPr>
          <w:rFonts w:cstheme="minorHAnsi"/>
          <w:sz w:val="24"/>
          <w:szCs w:val="24"/>
        </w:rPr>
        <w:t xml:space="preserve">field or law </w:t>
      </w:r>
      <w:r w:rsidR="00312228" w:rsidRPr="00946E97">
        <w:rPr>
          <w:rFonts w:cstheme="minorHAnsi"/>
          <w:sz w:val="24"/>
          <w:szCs w:val="24"/>
        </w:rPr>
        <w:t>does not have rights as they relate to the data, they have duties</w:t>
      </w:r>
      <w:r w:rsidR="00D8305D" w:rsidRPr="00946E97">
        <w:rPr>
          <w:rFonts w:cstheme="minorHAnsi"/>
          <w:sz w:val="24"/>
          <w:szCs w:val="24"/>
        </w:rPr>
        <w:t xml:space="preserve"> and legal obligations</w:t>
      </w:r>
      <w:r w:rsidR="00312228" w:rsidRPr="00946E97">
        <w:rPr>
          <w:rFonts w:cstheme="minorHAnsi"/>
          <w:sz w:val="24"/>
          <w:szCs w:val="24"/>
        </w:rPr>
        <w:t>. Rights are for the natural person whose data is being processed. The section might be intending to address the legal obligations of the data controller in the employment law, this should be stated as such.</w:t>
      </w:r>
    </w:p>
    <w:p w14:paraId="01ED2E4A" w14:textId="77777777" w:rsidR="00F41DF4" w:rsidRPr="00946E97" w:rsidRDefault="00F41DF4" w:rsidP="00D439AE">
      <w:pPr>
        <w:jc w:val="both"/>
        <w:rPr>
          <w:rFonts w:cstheme="minorHAnsi"/>
          <w:sz w:val="24"/>
          <w:szCs w:val="24"/>
        </w:rPr>
      </w:pPr>
    </w:p>
    <w:p w14:paraId="031571E7" w14:textId="77777777" w:rsidR="00F0203A" w:rsidRPr="005A1CAD" w:rsidRDefault="00F0203A" w:rsidP="005A1CAD">
      <w:pPr>
        <w:pStyle w:val="ListParagraph"/>
        <w:numPr>
          <w:ilvl w:val="0"/>
          <w:numId w:val="12"/>
        </w:numPr>
        <w:jc w:val="both"/>
        <w:rPr>
          <w:rFonts w:cstheme="minorHAnsi"/>
          <w:sz w:val="24"/>
          <w:szCs w:val="24"/>
        </w:rPr>
      </w:pPr>
      <w:r w:rsidRPr="005A1CAD">
        <w:rPr>
          <w:rFonts w:cstheme="minorHAnsi"/>
          <w:b/>
          <w:i/>
          <w:sz w:val="24"/>
          <w:szCs w:val="24"/>
        </w:rPr>
        <w:t>Issue</w:t>
      </w:r>
      <w:r w:rsidRPr="005A1CAD">
        <w:rPr>
          <w:rFonts w:cstheme="minorHAnsi"/>
          <w:sz w:val="24"/>
          <w:szCs w:val="24"/>
        </w:rPr>
        <w:t>:</w:t>
      </w:r>
      <w:r w:rsidR="00D25ECF" w:rsidRPr="005A1CAD">
        <w:rPr>
          <w:rFonts w:cstheme="minorHAnsi"/>
          <w:sz w:val="24"/>
          <w:szCs w:val="24"/>
        </w:rPr>
        <w:t xml:space="preserve"> processing of genetic data, biometric sensitive data and health data under s14</w:t>
      </w:r>
    </w:p>
    <w:p w14:paraId="68BF540E" w14:textId="77777777" w:rsidR="00F0203A" w:rsidRPr="00946E97" w:rsidRDefault="00D25ECF" w:rsidP="00D439AE">
      <w:pPr>
        <w:jc w:val="both"/>
        <w:rPr>
          <w:rFonts w:cstheme="minorHAnsi"/>
          <w:sz w:val="24"/>
          <w:szCs w:val="24"/>
        </w:rPr>
      </w:pPr>
      <w:r w:rsidRPr="00946E97">
        <w:rPr>
          <w:rFonts w:cstheme="minorHAnsi"/>
          <w:b/>
          <w:i/>
          <w:sz w:val="24"/>
          <w:szCs w:val="24"/>
        </w:rPr>
        <w:t>Discussion</w:t>
      </w:r>
      <w:r w:rsidRPr="00946E97">
        <w:rPr>
          <w:rFonts w:cstheme="minorHAnsi"/>
          <w:sz w:val="24"/>
          <w:szCs w:val="24"/>
        </w:rPr>
        <w:t xml:space="preserve">: </w:t>
      </w:r>
      <w:r w:rsidR="00F41DF4">
        <w:rPr>
          <w:rFonts w:cstheme="minorHAnsi"/>
          <w:sz w:val="24"/>
          <w:szCs w:val="24"/>
        </w:rPr>
        <w:t>S</w:t>
      </w:r>
      <w:r w:rsidRPr="00946E97">
        <w:rPr>
          <w:rFonts w:cstheme="minorHAnsi"/>
          <w:sz w:val="24"/>
          <w:szCs w:val="24"/>
        </w:rPr>
        <w:t xml:space="preserve">ection 14 (3) has exemptions to consent on processing of genetic, biometric sensitive and health data </w:t>
      </w:r>
      <w:r w:rsidR="009756B9" w:rsidRPr="00946E97">
        <w:rPr>
          <w:rFonts w:cstheme="minorHAnsi"/>
          <w:sz w:val="24"/>
          <w:szCs w:val="24"/>
        </w:rPr>
        <w:t>similar to</w:t>
      </w:r>
      <w:r w:rsidRPr="00946E97">
        <w:rPr>
          <w:rFonts w:cstheme="minorHAnsi"/>
          <w:sz w:val="24"/>
          <w:szCs w:val="24"/>
        </w:rPr>
        <w:t xml:space="preserve"> s 13</w:t>
      </w:r>
      <w:r w:rsidR="00C04043">
        <w:rPr>
          <w:rFonts w:cstheme="minorHAnsi"/>
          <w:sz w:val="24"/>
          <w:szCs w:val="24"/>
        </w:rPr>
        <w:t xml:space="preserve"> above</w:t>
      </w:r>
      <w:r w:rsidRPr="00946E97">
        <w:rPr>
          <w:rFonts w:cstheme="minorHAnsi"/>
          <w:sz w:val="24"/>
          <w:szCs w:val="24"/>
        </w:rPr>
        <w:t>. Section 14 (3) (a) exempts consent in writing if processing is in compliance with national security laws or (d) processing is required by or by virtue of law or any equivalent legislative act for reasons of substantial public interest or (e), processing is necessary to protect vital interests of the data subject, or</w:t>
      </w:r>
      <w:r w:rsidR="00C640BB" w:rsidRPr="00946E97">
        <w:rPr>
          <w:rFonts w:cstheme="minorHAnsi"/>
          <w:sz w:val="24"/>
          <w:szCs w:val="24"/>
        </w:rPr>
        <w:t xml:space="preserve"> another person</w:t>
      </w:r>
      <w:r w:rsidRPr="00946E97">
        <w:rPr>
          <w:rFonts w:cstheme="minorHAnsi"/>
          <w:sz w:val="24"/>
          <w:szCs w:val="24"/>
        </w:rPr>
        <w:t xml:space="preserve"> (g) data relates to data made public by the data subject. </w:t>
      </w:r>
    </w:p>
    <w:p w14:paraId="0F088336" w14:textId="77777777" w:rsidR="005F6C39" w:rsidRPr="00946E97" w:rsidRDefault="00D25ECF" w:rsidP="00D439AE">
      <w:pPr>
        <w:jc w:val="both"/>
        <w:rPr>
          <w:rFonts w:cstheme="minorHAnsi"/>
          <w:sz w:val="24"/>
          <w:szCs w:val="24"/>
        </w:rPr>
      </w:pPr>
      <w:r w:rsidRPr="00946E97">
        <w:rPr>
          <w:rFonts w:cstheme="minorHAnsi"/>
          <w:b/>
          <w:i/>
          <w:sz w:val="24"/>
          <w:szCs w:val="24"/>
        </w:rPr>
        <w:t>Recommendation</w:t>
      </w:r>
      <w:r w:rsidRPr="00946E97">
        <w:rPr>
          <w:rFonts w:cstheme="minorHAnsi"/>
          <w:sz w:val="24"/>
          <w:szCs w:val="24"/>
        </w:rPr>
        <w:t xml:space="preserve">: </w:t>
      </w:r>
      <w:r w:rsidR="00F41DF4">
        <w:rPr>
          <w:rFonts w:cstheme="minorHAnsi"/>
          <w:sz w:val="24"/>
          <w:szCs w:val="24"/>
        </w:rPr>
        <w:t>T</w:t>
      </w:r>
      <w:r w:rsidRPr="00946E97">
        <w:rPr>
          <w:rFonts w:cstheme="minorHAnsi"/>
          <w:sz w:val="24"/>
          <w:szCs w:val="24"/>
        </w:rPr>
        <w:t>o</w:t>
      </w:r>
      <w:r w:rsidR="00F41DF4">
        <w:rPr>
          <w:rFonts w:cstheme="minorHAnsi"/>
          <w:sz w:val="24"/>
          <w:szCs w:val="24"/>
        </w:rPr>
        <w:t xml:space="preserve"> </w:t>
      </w:r>
      <w:r w:rsidRPr="00946E97">
        <w:rPr>
          <w:rFonts w:cstheme="minorHAnsi"/>
          <w:sz w:val="24"/>
          <w:szCs w:val="24"/>
        </w:rPr>
        <w:t xml:space="preserve">constitute a legitimate and justifiable exemption this provision </w:t>
      </w:r>
      <w:r w:rsidR="00262A63">
        <w:rPr>
          <w:rFonts w:cstheme="minorHAnsi"/>
          <w:sz w:val="24"/>
          <w:szCs w:val="24"/>
        </w:rPr>
        <w:t>must be</w:t>
      </w:r>
      <w:r w:rsidR="00805BAE">
        <w:rPr>
          <w:rFonts w:cstheme="minorHAnsi"/>
          <w:sz w:val="24"/>
          <w:szCs w:val="24"/>
        </w:rPr>
        <w:t xml:space="preserve"> expanded to indicate that </w:t>
      </w:r>
      <w:r w:rsidRPr="00946E97">
        <w:rPr>
          <w:rFonts w:cstheme="minorHAnsi"/>
          <w:sz w:val="24"/>
          <w:szCs w:val="24"/>
        </w:rPr>
        <w:t xml:space="preserve">the exemption is clearly </w:t>
      </w:r>
      <w:r w:rsidR="00A46C4B" w:rsidRPr="00946E97">
        <w:rPr>
          <w:rFonts w:cstheme="minorHAnsi"/>
          <w:sz w:val="24"/>
          <w:szCs w:val="24"/>
        </w:rPr>
        <w:t>defined and</w:t>
      </w:r>
      <w:r w:rsidRPr="00946E97">
        <w:rPr>
          <w:rFonts w:cstheme="minorHAnsi"/>
          <w:sz w:val="24"/>
          <w:szCs w:val="24"/>
        </w:rPr>
        <w:t xml:space="preserve"> prescribed by law; they should be legitimate as they advance or respect individual rights and freedoms under the constitution and the Bill and necessary, proportionate in a democratic state. </w:t>
      </w:r>
      <w:r w:rsidR="000A6240" w:rsidRPr="00946E97">
        <w:rPr>
          <w:rFonts w:cstheme="minorHAnsi"/>
          <w:sz w:val="24"/>
          <w:szCs w:val="24"/>
        </w:rPr>
        <w:t>Equally substantial public interest should be considered as such if lawful if processing is proportionate and there are sufficient safeguards for data protection and privacy.</w:t>
      </w:r>
    </w:p>
    <w:p w14:paraId="549E708E" w14:textId="77777777" w:rsidR="00D25ECF" w:rsidRPr="00946E97" w:rsidRDefault="00D25ECF" w:rsidP="00D439AE">
      <w:pPr>
        <w:jc w:val="both"/>
        <w:rPr>
          <w:rFonts w:cstheme="minorHAnsi"/>
          <w:sz w:val="24"/>
          <w:szCs w:val="24"/>
        </w:rPr>
      </w:pPr>
      <w:r w:rsidRPr="00946E97">
        <w:rPr>
          <w:rFonts w:cstheme="minorHAnsi"/>
          <w:sz w:val="24"/>
          <w:szCs w:val="24"/>
        </w:rPr>
        <w:lastRenderedPageBreak/>
        <w:t>The data that is public</w:t>
      </w:r>
      <w:r w:rsidR="000C71EB">
        <w:rPr>
          <w:rFonts w:cstheme="minorHAnsi"/>
          <w:sz w:val="24"/>
          <w:szCs w:val="24"/>
        </w:rPr>
        <w:t>ly</w:t>
      </w:r>
      <w:r w:rsidRPr="00946E97">
        <w:rPr>
          <w:rFonts w:cstheme="minorHAnsi"/>
          <w:sz w:val="24"/>
          <w:szCs w:val="24"/>
        </w:rPr>
        <w:t xml:space="preserve"> available due to the data subject’s act must be protected from further processing of any other purposes other than the intended purposes it had been collected or made public for. Public availability should not be assumed as consent, neither does this constitute legal grounds for additional processing of the data. </w:t>
      </w:r>
      <w:r w:rsidR="00C640BB" w:rsidRPr="00946E97">
        <w:rPr>
          <w:rFonts w:cstheme="minorHAnsi"/>
          <w:sz w:val="24"/>
          <w:szCs w:val="24"/>
        </w:rPr>
        <w:t xml:space="preserve">The processing of data subject’s data to protect interests of another person </w:t>
      </w:r>
      <w:r w:rsidR="00EA5E10" w:rsidRPr="00946E97">
        <w:rPr>
          <w:rFonts w:cstheme="minorHAnsi"/>
          <w:sz w:val="24"/>
          <w:szCs w:val="24"/>
        </w:rPr>
        <w:t>should be clearly framed to indicate that “another person” is a natural identifiable person and not juristic persons</w:t>
      </w:r>
      <w:r w:rsidR="00A2135E">
        <w:rPr>
          <w:rFonts w:cstheme="minorHAnsi"/>
          <w:sz w:val="24"/>
          <w:szCs w:val="24"/>
        </w:rPr>
        <w:t xml:space="preserve">. This will eliminate or mitigate against </w:t>
      </w:r>
      <w:r w:rsidR="00EA5E10" w:rsidRPr="00946E97">
        <w:rPr>
          <w:rFonts w:cstheme="minorHAnsi"/>
          <w:sz w:val="24"/>
          <w:szCs w:val="24"/>
        </w:rPr>
        <w:t xml:space="preserve">abuse. </w:t>
      </w:r>
      <w:r w:rsidR="005D4A72" w:rsidRPr="00946E97">
        <w:rPr>
          <w:rFonts w:cstheme="minorHAnsi"/>
          <w:sz w:val="24"/>
          <w:szCs w:val="24"/>
        </w:rPr>
        <w:t>Vital interests of another person should be clearly defined as those that constitute existential needs and interests. If also there is knowledge that the data subject even if the vital interests existed would not have consent to the processing of the data, then such processing should be deemed unlawful</w:t>
      </w:r>
      <w:r w:rsidR="000A6240" w:rsidRPr="00946E97">
        <w:rPr>
          <w:rFonts w:cstheme="minorHAnsi"/>
          <w:sz w:val="24"/>
          <w:szCs w:val="24"/>
        </w:rPr>
        <w:t xml:space="preserve">. </w:t>
      </w:r>
    </w:p>
    <w:p w14:paraId="5D50CB6E" w14:textId="77777777" w:rsidR="004263E5" w:rsidRPr="00946E97" w:rsidRDefault="00F16618" w:rsidP="00D439AE">
      <w:pPr>
        <w:pStyle w:val="Heading2"/>
        <w:jc w:val="both"/>
        <w:rPr>
          <w:rFonts w:cstheme="minorHAnsi"/>
          <w:szCs w:val="24"/>
        </w:rPr>
      </w:pPr>
      <w:bookmarkStart w:id="10" w:name="_Toc43374611"/>
      <w:r w:rsidRPr="00946E97">
        <w:rPr>
          <w:rFonts w:cstheme="minorHAnsi"/>
          <w:szCs w:val="24"/>
        </w:rPr>
        <w:t>Part VI</w:t>
      </w:r>
      <w:bookmarkEnd w:id="10"/>
    </w:p>
    <w:p w14:paraId="7F991E9D" w14:textId="77777777" w:rsidR="004263E5" w:rsidRPr="00946E97" w:rsidRDefault="004263E5" w:rsidP="00D439AE">
      <w:pPr>
        <w:jc w:val="both"/>
        <w:rPr>
          <w:rFonts w:cstheme="minorHAnsi"/>
          <w:sz w:val="24"/>
          <w:szCs w:val="24"/>
        </w:rPr>
      </w:pPr>
      <w:r w:rsidRPr="00946E97">
        <w:rPr>
          <w:rFonts w:cstheme="minorHAnsi"/>
          <w:sz w:val="24"/>
          <w:szCs w:val="24"/>
        </w:rPr>
        <w:t xml:space="preserve">Part VI of this Bill covers sections 15, which focuses on disclosures when collecting data directly from data subject, 16 on disclosures when not collecting data directly from data subject, 17 on authority to process, 18 security; </w:t>
      </w:r>
      <w:r w:rsidRPr="00946E97">
        <w:rPr>
          <w:rFonts w:cstheme="minorHAnsi"/>
          <w:bCs/>
          <w:sz w:val="24"/>
          <w:szCs w:val="24"/>
        </w:rPr>
        <w:t>19 on security breach notification; 20 Obligation of notification to Authority; 21 content of notification; 22 authorization, 23, openness of processing and 24 accountability.</w:t>
      </w:r>
      <w:r w:rsidRPr="00946E97">
        <w:rPr>
          <w:rFonts w:cstheme="minorHAnsi"/>
          <w:b/>
          <w:bCs/>
          <w:sz w:val="24"/>
          <w:szCs w:val="24"/>
        </w:rPr>
        <w:t xml:space="preserve"> </w:t>
      </w:r>
    </w:p>
    <w:p w14:paraId="30385D34" w14:textId="77777777" w:rsidR="006D28BF" w:rsidRPr="005A1CAD" w:rsidRDefault="006D28BF" w:rsidP="005A1CAD">
      <w:pPr>
        <w:pStyle w:val="ListParagraph"/>
        <w:numPr>
          <w:ilvl w:val="0"/>
          <w:numId w:val="13"/>
        </w:numPr>
        <w:jc w:val="both"/>
        <w:rPr>
          <w:rFonts w:cstheme="minorHAnsi"/>
          <w:b/>
          <w:sz w:val="24"/>
          <w:szCs w:val="24"/>
        </w:rPr>
      </w:pPr>
      <w:r w:rsidRPr="005A1CAD">
        <w:rPr>
          <w:rFonts w:cstheme="minorHAnsi"/>
          <w:b/>
          <w:sz w:val="24"/>
          <w:szCs w:val="24"/>
        </w:rPr>
        <w:t>Disclosures, Notification, Openness of Processing and Accountability</w:t>
      </w:r>
    </w:p>
    <w:p w14:paraId="7D5C6A94" w14:textId="77777777" w:rsidR="0008196F" w:rsidRPr="005A1CAD" w:rsidRDefault="0008196F" w:rsidP="005A1CAD">
      <w:pPr>
        <w:pStyle w:val="ListParagraph"/>
        <w:numPr>
          <w:ilvl w:val="0"/>
          <w:numId w:val="14"/>
        </w:numPr>
        <w:jc w:val="both"/>
        <w:rPr>
          <w:rFonts w:cstheme="minorHAnsi"/>
          <w:b/>
          <w:sz w:val="24"/>
          <w:szCs w:val="24"/>
        </w:rPr>
      </w:pPr>
      <w:r w:rsidRPr="005A1CAD">
        <w:rPr>
          <w:rFonts w:cstheme="minorHAnsi"/>
          <w:b/>
          <w:sz w:val="24"/>
          <w:szCs w:val="24"/>
        </w:rPr>
        <w:t xml:space="preserve">Indirect Data collection </w:t>
      </w:r>
    </w:p>
    <w:p w14:paraId="5D71B609" w14:textId="77777777" w:rsidR="002B1B93" w:rsidRPr="00946E97" w:rsidRDefault="002B1B93" w:rsidP="00D439AE">
      <w:pPr>
        <w:jc w:val="both"/>
        <w:rPr>
          <w:rFonts w:cstheme="minorHAnsi"/>
          <w:sz w:val="24"/>
          <w:szCs w:val="24"/>
        </w:rPr>
      </w:pPr>
      <w:r w:rsidRPr="00946E97">
        <w:rPr>
          <w:rFonts w:cstheme="minorHAnsi"/>
          <w:b/>
          <w:i/>
          <w:sz w:val="24"/>
          <w:szCs w:val="24"/>
        </w:rPr>
        <w:t>Issue</w:t>
      </w:r>
      <w:r w:rsidRPr="00946E97">
        <w:rPr>
          <w:rFonts w:cstheme="minorHAnsi"/>
          <w:sz w:val="24"/>
          <w:szCs w:val="24"/>
        </w:rPr>
        <w:t xml:space="preserve">: </w:t>
      </w:r>
      <w:r w:rsidR="00D53558" w:rsidRPr="00946E97">
        <w:rPr>
          <w:rFonts w:cstheme="minorHAnsi"/>
          <w:sz w:val="24"/>
          <w:szCs w:val="24"/>
        </w:rPr>
        <w:t>disclosures when collecting data directly from data subject</w:t>
      </w:r>
      <w:r w:rsidRPr="00946E97">
        <w:rPr>
          <w:rStyle w:val="FootnoteReference"/>
          <w:rFonts w:cstheme="minorHAnsi"/>
          <w:sz w:val="24"/>
          <w:szCs w:val="24"/>
        </w:rPr>
        <w:footnoteReference w:id="15"/>
      </w:r>
    </w:p>
    <w:p w14:paraId="6E61644A" w14:textId="77777777" w:rsidR="006B279A" w:rsidRPr="00946E97" w:rsidRDefault="00B36C3D" w:rsidP="00D439AE">
      <w:pPr>
        <w:jc w:val="both"/>
        <w:rPr>
          <w:rFonts w:cstheme="minorHAnsi"/>
          <w:sz w:val="24"/>
          <w:szCs w:val="24"/>
        </w:rPr>
      </w:pPr>
      <w:r w:rsidRPr="00946E97">
        <w:rPr>
          <w:rFonts w:cstheme="minorHAnsi"/>
          <w:b/>
          <w:i/>
          <w:sz w:val="24"/>
          <w:szCs w:val="24"/>
        </w:rPr>
        <w:t>Discussion</w:t>
      </w:r>
      <w:r w:rsidR="00777048" w:rsidRPr="00946E97">
        <w:rPr>
          <w:rFonts w:cstheme="minorHAnsi"/>
          <w:sz w:val="24"/>
          <w:szCs w:val="24"/>
        </w:rPr>
        <w:t xml:space="preserve">: </w:t>
      </w:r>
      <w:r w:rsidR="00F41DF4">
        <w:rPr>
          <w:rFonts w:cstheme="minorHAnsi"/>
          <w:sz w:val="24"/>
          <w:szCs w:val="24"/>
        </w:rPr>
        <w:t>S</w:t>
      </w:r>
      <w:r w:rsidR="00016176" w:rsidRPr="00946E97">
        <w:rPr>
          <w:rFonts w:cstheme="minorHAnsi"/>
          <w:sz w:val="24"/>
          <w:szCs w:val="24"/>
        </w:rPr>
        <w:t>ection 15</w:t>
      </w:r>
      <w:r w:rsidR="00E76549" w:rsidRPr="00946E97">
        <w:rPr>
          <w:rFonts w:cstheme="minorHAnsi"/>
          <w:sz w:val="24"/>
          <w:szCs w:val="24"/>
        </w:rPr>
        <w:t xml:space="preserve"> (e)(i</w:t>
      </w:r>
      <w:r w:rsidR="004E5461" w:rsidRPr="00946E97">
        <w:rPr>
          <w:rFonts w:cstheme="minorHAnsi"/>
          <w:sz w:val="24"/>
          <w:szCs w:val="24"/>
        </w:rPr>
        <w:t xml:space="preserve">) and section 16 (e) (ii) </w:t>
      </w:r>
      <w:r w:rsidR="00E76549" w:rsidRPr="00946E97">
        <w:rPr>
          <w:rFonts w:cstheme="minorHAnsi"/>
          <w:sz w:val="24"/>
          <w:szCs w:val="24"/>
        </w:rPr>
        <w:t xml:space="preserve">provides for the data to be disclosed to “recipients or categories of recipients of the data”. It presupposes some level of sharing of personal data with other recipients, and categories not stated. Further, the provision does not specify if the recipients have safeguards or are cross border recipients. </w:t>
      </w:r>
      <w:r w:rsidR="006B279A" w:rsidRPr="00946E97">
        <w:rPr>
          <w:rFonts w:cstheme="minorHAnsi"/>
          <w:sz w:val="24"/>
          <w:szCs w:val="24"/>
        </w:rPr>
        <w:t>Section 15 (1)(c), (e)(iii)</w:t>
      </w:r>
      <w:r w:rsidR="004E5461" w:rsidRPr="00946E97">
        <w:rPr>
          <w:rFonts w:cstheme="minorHAnsi"/>
          <w:sz w:val="24"/>
          <w:szCs w:val="24"/>
        </w:rPr>
        <w:t xml:space="preserve"> and s 16 (e)(iii)</w:t>
      </w:r>
      <w:r w:rsidR="006B279A" w:rsidRPr="00946E97">
        <w:rPr>
          <w:rFonts w:cstheme="minorHAnsi"/>
          <w:sz w:val="24"/>
          <w:szCs w:val="24"/>
        </w:rPr>
        <w:t xml:space="preserve"> </w:t>
      </w:r>
      <w:r w:rsidR="004E5461" w:rsidRPr="00946E97">
        <w:rPr>
          <w:rFonts w:cstheme="minorHAnsi"/>
          <w:sz w:val="24"/>
          <w:szCs w:val="24"/>
        </w:rPr>
        <w:t>provides for data subject right to access and rectify data</w:t>
      </w:r>
      <w:r w:rsidR="006B279A" w:rsidRPr="00946E97">
        <w:rPr>
          <w:rFonts w:cstheme="minorHAnsi"/>
          <w:sz w:val="24"/>
          <w:szCs w:val="24"/>
        </w:rPr>
        <w:t xml:space="preserve">. This is commendable and necessary but not sufficient as will be discussed under section on data subject rights. </w:t>
      </w:r>
    </w:p>
    <w:p w14:paraId="29514FBD" w14:textId="77777777" w:rsidR="00F16618" w:rsidRDefault="00F16618" w:rsidP="00D439AE">
      <w:pPr>
        <w:jc w:val="both"/>
        <w:rPr>
          <w:rFonts w:cstheme="minorHAnsi"/>
          <w:sz w:val="24"/>
          <w:szCs w:val="24"/>
        </w:rPr>
      </w:pPr>
      <w:r w:rsidRPr="00946E97">
        <w:rPr>
          <w:rFonts w:cstheme="minorHAnsi"/>
          <w:b/>
          <w:i/>
          <w:sz w:val="24"/>
          <w:szCs w:val="24"/>
        </w:rPr>
        <w:t>Recommendation</w:t>
      </w:r>
      <w:r w:rsidR="00E76549" w:rsidRPr="00946E97">
        <w:rPr>
          <w:rFonts w:cstheme="minorHAnsi"/>
          <w:b/>
          <w:i/>
          <w:sz w:val="24"/>
          <w:szCs w:val="24"/>
        </w:rPr>
        <w:t>s</w:t>
      </w:r>
      <w:r w:rsidR="004E5461" w:rsidRPr="00946E97">
        <w:rPr>
          <w:rFonts w:cstheme="minorHAnsi"/>
          <w:sz w:val="24"/>
          <w:szCs w:val="24"/>
        </w:rPr>
        <w:t xml:space="preserve">: </w:t>
      </w:r>
      <w:r w:rsidR="00F41DF4">
        <w:rPr>
          <w:rFonts w:cstheme="minorHAnsi"/>
          <w:sz w:val="24"/>
          <w:szCs w:val="24"/>
        </w:rPr>
        <w:t>T</w:t>
      </w:r>
      <w:r w:rsidR="004E5461" w:rsidRPr="00946E97">
        <w:rPr>
          <w:rFonts w:cstheme="minorHAnsi"/>
          <w:sz w:val="24"/>
          <w:szCs w:val="24"/>
        </w:rPr>
        <w:t>hese provisions</w:t>
      </w:r>
      <w:r w:rsidR="002A2493" w:rsidRPr="00946E97">
        <w:rPr>
          <w:rFonts w:cstheme="minorHAnsi"/>
          <w:sz w:val="24"/>
          <w:szCs w:val="24"/>
        </w:rPr>
        <w:t xml:space="preserve"> </w:t>
      </w:r>
      <w:r w:rsidR="00AE4C97">
        <w:rPr>
          <w:rFonts w:cstheme="minorHAnsi"/>
          <w:sz w:val="24"/>
          <w:szCs w:val="24"/>
        </w:rPr>
        <w:t xml:space="preserve">must </w:t>
      </w:r>
      <w:r w:rsidR="002A2493" w:rsidRPr="00946E97">
        <w:rPr>
          <w:rFonts w:cstheme="minorHAnsi"/>
          <w:sz w:val="24"/>
          <w:szCs w:val="24"/>
        </w:rPr>
        <w:t xml:space="preserve">consider inclusion of section on sharing of data and if the data will be shared </w:t>
      </w:r>
      <w:r w:rsidR="009F6249" w:rsidRPr="00946E97">
        <w:rPr>
          <w:rFonts w:cstheme="minorHAnsi"/>
          <w:sz w:val="24"/>
          <w:szCs w:val="24"/>
        </w:rPr>
        <w:t xml:space="preserve">or legitimately disclosed to another recipient, the section should provide for the data subject to be informed when personal data are first disclosed to the recipient. </w:t>
      </w:r>
    </w:p>
    <w:p w14:paraId="2F6CCC05" w14:textId="77777777" w:rsidR="00F41DF4" w:rsidRPr="00946E97" w:rsidRDefault="00F41DF4" w:rsidP="00D439AE">
      <w:pPr>
        <w:jc w:val="both"/>
        <w:rPr>
          <w:rFonts w:cstheme="minorHAnsi"/>
          <w:sz w:val="24"/>
          <w:szCs w:val="24"/>
        </w:rPr>
      </w:pPr>
    </w:p>
    <w:p w14:paraId="7BDBA4CB" w14:textId="77777777" w:rsidR="00CD33ED" w:rsidRPr="005A1CAD" w:rsidRDefault="00CD33ED" w:rsidP="005A1CAD">
      <w:pPr>
        <w:pStyle w:val="ListParagraph"/>
        <w:numPr>
          <w:ilvl w:val="0"/>
          <w:numId w:val="14"/>
        </w:numPr>
        <w:jc w:val="both"/>
        <w:rPr>
          <w:rFonts w:cstheme="minorHAnsi"/>
          <w:b/>
          <w:sz w:val="24"/>
          <w:szCs w:val="24"/>
        </w:rPr>
      </w:pPr>
      <w:r w:rsidRPr="005A1CAD">
        <w:rPr>
          <w:rFonts w:cstheme="minorHAnsi"/>
          <w:b/>
          <w:sz w:val="24"/>
          <w:szCs w:val="24"/>
        </w:rPr>
        <w:t>Security of Data</w:t>
      </w:r>
    </w:p>
    <w:p w14:paraId="344DFCCD" w14:textId="77777777" w:rsidR="009F6249" w:rsidRPr="00946E97" w:rsidRDefault="00515356" w:rsidP="00D439AE">
      <w:pPr>
        <w:jc w:val="both"/>
        <w:rPr>
          <w:rFonts w:cstheme="minorHAnsi"/>
          <w:sz w:val="24"/>
          <w:szCs w:val="24"/>
        </w:rPr>
      </w:pPr>
      <w:r w:rsidRPr="00946E97">
        <w:rPr>
          <w:rFonts w:cstheme="minorHAnsi"/>
          <w:b/>
          <w:i/>
          <w:sz w:val="24"/>
          <w:szCs w:val="24"/>
        </w:rPr>
        <w:t>Issues</w:t>
      </w:r>
      <w:r w:rsidRPr="00946E97">
        <w:rPr>
          <w:rFonts w:cstheme="minorHAnsi"/>
          <w:sz w:val="24"/>
          <w:szCs w:val="24"/>
        </w:rPr>
        <w:t>: security of data, section 18 provides for security, integrity and confidentiality of data by the controller, or data processor representative</w:t>
      </w:r>
    </w:p>
    <w:p w14:paraId="2EE82475" w14:textId="77777777" w:rsidR="00894888" w:rsidRPr="00946E97" w:rsidRDefault="00515356" w:rsidP="00D439AE">
      <w:pPr>
        <w:jc w:val="both"/>
        <w:rPr>
          <w:rFonts w:cstheme="minorHAnsi"/>
          <w:sz w:val="24"/>
          <w:szCs w:val="24"/>
        </w:rPr>
      </w:pPr>
      <w:r w:rsidRPr="00946E97">
        <w:rPr>
          <w:rFonts w:cstheme="minorHAnsi"/>
          <w:b/>
          <w:i/>
          <w:sz w:val="24"/>
          <w:szCs w:val="24"/>
        </w:rPr>
        <w:t>Discussion</w:t>
      </w:r>
      <w:r w:rsidRPr="00946E97">
        <w:rPr>
          <w:rFonts w:cstheme="minorHAnsi"/>
          <w:sz w:val="24"/>
          <w:szCs w:val="24"/>
        </w:rPr>
        <w:t xml:space="preserve">: </w:t>
      </w:r>
      <w:r w:rsidR="00AE4C97">
        <w:rPr>
          <w:rFonts w:cstheme="minorHAnsi"/>
          <w:sz w:val="24"/>
          <w:szCs w:val="24"/>
        </w:rPr>
        <w:t>The</w:t>
      </w:r>
      <w:r w:rsidRPr="00946E97">
        <w:rPr>
          <w:rFonts w:cstheme="minorHAnsi"/>
          <w:sz w:val="24"/>
          <w:szCs w:val="24"/>
        </w:rPr>
        <w:t xml:space="preserve"> controller</w:t>
      </w:r>
      <w:r w:rsidR="00AE4C97">
        <w:rPr>
          <w:rFonts w:cstheme="minorHAnsi"/>
          <w:sz w:val="24"/>
          <w:szCs w:val="24"/>
        </w:rPr>
        <w:t>’s duties</w:t>
      </w:r>
      <w:r w:rsidRPr="00946E97">
        <w:rPr>
          <w:rFonts w:cstheme="minorHAnsi"/>
          <w:sz w:val="24"/>
          <w:szCs w:val="24"/>
        </w:rPr>
        <w:t xml:space="preserve"> </w:t>
      </w:r>
      <w:r w:rsidR="00894888" w:rsidRPr="00946E97">
        <w:rPr>
          <w:rFonts w:cstheme="minorHAnsi"/>
          <w:sz w:val="24"/>
          <w:szCs w:val="24"/>
        </w:rPr>
        <w:t xml:space="preserve">include the obligation to </w:t>
      </w:r>
      <w:r w:rsidRPr="00946E97">
        <w:rPr>
          <w:rFonts w:cstheme="minorHAnsi"/>
          <w:sz w:val="24"/>
          <w:szCs w:val="24"/>
        </w:rPr>
        <w:t xml:space="preserve">safeguard the security, integrity </w:t>
      </w:r>
      <w:r w:rsidR="00894888" w:rsidRPr="00946E97">
        <w:rPr>
          <w:rFonts w:cstheme="minorHAnsi"/>
          <w:sz w:val="24"/>
          <w:szCs w:val="24"/>
        </w:rPr>
        <w:t xml:space="preserve">and confidentiality of data from unauthorized access, negligent loss, alternative or any unauthorized </w:t>
      </w:r>
      <w:r w:rsidR="00894888" w:rsidRPr="00946E97">
        <w:rPr>
          <w:rFonts w:cstheme="minorHAnsi"/>
          <w:sz w:val="24"/>
          <w:szCs w:val="24"/>
        </w:rPr>
        <w:lastRenderedPageBreak/>
        <w:t xml:space="preserve">processing. This provision is commendable. </w:t>
      </w:r>
      <w:r w:rsidR="00D4475D" w:rsidRPr="00946E97">
        <w:rPr>
          <w:rFonts w:cstheme="minorHAnsi"/>
          <w:sz w:val="24"/>
          <w:szCs w:val="24"/>
        </w:rPr>
        <w:t>Data</w:t>
      </w:r>
      <w:r w:rsidR="00F13143" w:rsidRPr="00946E97">
        <w:rPr>
          <w:rFonts w:cstheme="minorHAnsi"/>
          <w:sz w:val="24"/>
          <w:szCs w:val="24"/>
        </w:rPr>
        <w:t xml:space="preserve"> controllers should put in place mechanisms to reduce the risk of violation of data integrity, confidentiality and security. The risks to the data subject </w:t>
      </w:r>
      <w:r w:rsidR="00DF196F" w:rsidRPr="00946E97">
        <w:rPr>
          <w:rFonts w:cstheme="minorHAnsi"/>
          <w:sz w:val="24"/>
          <w:szCs w:val="24"/>
        </w:rPr>
        <w:t>are quite wide and the controller needs to prepare or anticipate some of t</w:t>
      </w:r>
      <w:r w:rsidR="00E57D45" w:rsidRPr="00946E97">
        <w:rPr>
          <w:rFonts w:cstheme="minorHAnsi"/>
          <w:sz w:val="24"/>
          <w:szCs w:val="24"/>
        </w:rPr>
        <w:t>hese risks. These include economic or social risks, such as fraud, financial loss, or reputational damage due to disclosure of personal data</w:t>
      </w:r>
    </w:p>
    <w:p w14:paraId="1ACB6A22" w14:textId="77777777" w:rsidR="003357C9" w:rsidRDefault="00515356" w:rsidP="00D439AE">
      <w:pPr>
        <w:jc w:val="both"/>
        <w:rPr>
          <w:rFonts w:cstheme="minorHAnsi"/>
          <w:sz w:val="24"/>
          <w:szCs w:val="24"/>
        </w:rPr>
      </w:pPr>
      <w:r w:rsidRPr="00946E97">
        <w:rPr>
          <w:rFonts w:cstheme="minorHAnsi"/>
          <w:b/>
          <w:i/>
          <w:sz w:val="24"/>
          <w:szCs w:val="24"/>
        </w:rPr>
        <w:t>Recommendations</w:t>
      </w:r>
      <w:r w:rsidRPr="00946E97">
        <w:rPr>
          <w:rFonts w:cstheme="minorHAnsi"/>
          <w:sz w:val="24"/>
          <w:szCs w:val="24"/>
        </w:rPr>
        <w:t>:</w:t>
      </w:r>
      <w:r w:rsidR="00CD33ED" w:rsidRPr="00946E97">
        <w:rPr>
          <w:rFonts w:cstheme="minorHAnsi"/>
          <w:sz w:val="24"/>
          <w:szCs w:val="24"/>
        </w:rPr>
        <w:t xml:space="preserve"> The Bill should consider</w:t>
      </w:r>
      <w:r w:rsidR="00894888" w:rsidRPr="00946E97">
        <w:rPr>
          <w:rFonts w:cstheme="minorHAnsi"/>
          <w:sz w:val="24"/>
          <w:szCs w:val="24"/>
        </w:rPr>
        <w:t xml:space="preserve"> including these duties as part of principles on data protection, and then expanding them in the Bill.</w:t>
      </w:r>
      <w:r w:rsidR="00E345F7" w:rsidRPr="00946E97">
        <w:rPr>
          <w:rFonts w:cstheme="minorHAnsi"/>
          <w:sz w:val="24"/>
          <w:szCs w:val="24"/>
        </w:rPr>
        <w:t xml:space="preserve"> </w:t>
      </w:r>
    </w:p>
    <w:p w14:paraId="08B354B9" w14:textId="77777777" w:rsidR="00F41DF4" w:rsidRPr="00946E97" w:rsidRDefault="00F41DF4" w:rsidP="00D439AE">
      <w:pPr>
        <w:jc w:val="both"/>
        <w:rPr>
          <w:rFonts w:cstheme="minorHAnsi"/>
          <w:sz w:val="24"/>
          <w:szCs w:val="24"/>
        </w:rPr>
      </w:pPr>
    </w:p>
    <w:p w14:paraId="62C603CA" w14:textId="77777777" w:rsidR="00CD33ED" w:rsidRPr="005A1CAD" w:rsidRDefault="00CD33ED" w:rsidP="005A1CAD">
      <w:pPr>
        <w:pStyle w:val="ListParagraph"/>
        <w:numPr>
          <w:ilvl w:val="0"/>
          <w:numId w:val="14"/>
        </w:numPr>
        <w:jc w:val="both"/>
        <w:rPr>
          <w:rFonts w:cstheme="minorHAnsi"/>
          <w:b/>
          <w:bCs/>
          <w:sz w:val="24"/>
          <w:szCs w:val="24"/>
        </w:rPr>
      </w:pPr>
      <w:r w:rsidRPr="005A1CAD">
        <w:rPr>
          <w:rFonts w:cstheme="minorHAnsi"/>
          <w:b/>
          <w:bCs/>
          <w:sz w:val="24"/>
          <w:szCs w:val="24"/>
        </w:rPr>
        <w:t>Notifications to Authority</w:t>
      </w:r>
    </w:p>
    <w:p w14:paraId="618C3A44" w14:textId="77777777" w:rsidR="00932B87" w:rsidRPr="00946E97" w:rsidRDefault="00B312F8" w:rsidP="00D439AE">
      <w:pPr>
        <w:jc w:val="both"/>
        <w:rPr>
          <w:rFonts w:cstheme="minorHAnsi"/>
          <w:b/>
          <w:bCs/>
          <w:sz w:val="24"/>
          <w:szCs w:val="24"/>
        </w:rPr>
      </w:pPr>
      <w:r w:rsidRPr="00946E97">
        <w:rPr>
          <w:rFonts w:cstheme="minorHAnsi"/>
          <w:b/>
          <w:bCs/>
          <w:i/>
          <w:sz w:val="24"/>
          <w:szCs w:val="24"/>
        </w:rPr>
        <w:t>Issue</w:t>
      </w:r>
      <w:r w:rsidR="003357C9" w:rsidRPr="00946E97">
        <w:rPr>
          <w:rFonts w:cstheme="minorHAnsi"/>
          <w:b/>
          <w:bCs/>
          <w:sz w:val="24"/>
          <w:szCs w:val="24"/>
        </w:rPr>
        <w:t xml:space="preserve">: </w:t>
      </w:r>
      <w:r w:rsidR="000532E2" w:rsidRPr="00946E97">
        <w:rPr>
          <w:rFonts w:cstheme="minorHAnsi"/>
          <w:bCs/>
          <w:sz w:val="24"/>
          <w:szCs w:val="24"/>
        </w:rPr>
        <w:t>Notifications t</w:t>
      </w:r>
      <w:r w:rsidR="005201D5" w:rsidRPr="00946E97">
        <w:rPr>
          <w:rFonts w:cstheme="minorHAnsi"/>
          <w:bCs/>
          <w:sz w:val="24"/>
          <w:szCs w:val="24"/>
        </w:rPr>
        <w:t xml:space="preserve">o Authority under </w:t>
      </w:r>
      <w:r w:rsidR="003357C9" w:rsidRPr="00946E97">
        <w:rPr>
          <w:rFonts w:cstheme="minorHAnsi"/>
          <w:bCs/>
          <w:sz w:val="24"/>
          <w:szCs w:val="24"/>
        </w:rPr>
        <w:t xml:space="preserve">section 19 provides </w:t>
      </w:r>
      <w:r w:rsidR="00932B87" w:rsidRPr="00946E97">
        <w:rPr>
          <w:rFonts w:cstheme="minorHAnsi"/>
          <w:bCs/>
          <w:sz w:val="24"/>
          <w:szCs w:val="24"/>
        </w:rPr>
        <w:t>that “the data controller shall notify the Authority, without any undue delay of any”</w:t>
      </w:r>
    </w:p>
    <w:p w14:paraId="5BA43365" w14:textId="77777777" w:rsidR="003357C9" w:rsidRPr="00946E97" w:rsidRDefault="003357C9" w:rsidP="00D439AE">
      <w:pPr>
        <w:jc w:val="both"/>
        <w:rPr>
          <w:rFonts w:cstheme="minorHAnsi"/>
          <w:bCs/>
          <w:sz w:val="24"/>
          <w:szCs w:val="24"/>
        </w:rPr>
      </w:pPr>
      <w:r w:rsidRPr="00946E97">
        <w:rPr>
          <w:rFonts w:cstheme="minorHAnsi"/>
          <w:b/>
          <w:bCs/>
          <w:i/>
          <w:sz w:val="24"/>
          <w:szCs w:val="24"/>
        </w:rPr>
        <w:t>Discussion</w:t>
      </w:r>
      <w:r w:rsidRPr="00946E97">
        <w:rPr>
          <w:rFonts w:cstheme="minorHAnsi"/>
          <w:b/>
          <w:bCs/>
          <w:sz w:val="24"/>
          <w:szCs w:val="24"/>
        </w:rPr>
        <w:t>:</w:t>
      </w:r>
      <w:r w:rsidR="00930914" w:rsidRPr="00946E97">
        <w:rPr>
          <w:rFonts w:cstheme="minorHAnsi"/>
          <w:b/>
          <w:bCs/>
          <w:sz w:val="24"/>
          <w:szCs w:val="24"/>
        </w:rPr>
        <w:t xml:space="preserve"> </w:t>
      </w:r>
      <w:r w:rsidR="00AC3CB9" w:rsidRPr="00946E97">
        <w:rPr>
          <w:rFonts w:cstheme="minorHAnsi"/>
          <w:bCs/>
          <w:sz w:val="24"/>
          <w:szCs w:val="24"/>
        </w:rPr>
        <w:t>The section is short</w:t>
      </w:r>
      <w:r w:rsidR="00AB03B8" w:rsidRPr="00946E97">
        <w:rPr>
          <w:rFonts w:cstheme="minorHAnsi"/>
          <w:bCs/>
          <w:sz w:val="24"/>
          <w:szCs w:val="24"/>
        </w:rPr>
        <w:t>. There is no specification of when notification should be c</w:t>
      </w:r>
      <w:r w:rsidR="00780FC3">
        <w:rPr>
          <w:rFonts w:cstheme="minorHAnsi"/>
          <w:bCs/>
          <w:sz w:val="24"/>
          <w:szCs w:val="24"/>
        </w:rPr>
        <w:t>onducted other than undue delay. U</w:t>
      </w:r>
      <w:r w:rsidR="00AB03B8" w:rsidRPr="00946E97">
        <w:rPr>
          <w:rFonts w:cstheme="minorHAnsi"/>
          <w:bCs/>
          <w:sz w:val="24"/>
          <w:szCs w:val="24"/>
        </w:rPr>
        <w:t>ndue delay, meaning within what period</w:t>
      </w:r>
      <w:r w:rsidR="00780FC3">
        <w:rPr>
          <w:rFonts w:cstheme="minorHAnsi"/>
          <w:bCs/>
          <w:sz w:val="24"/>
          <w:szCs w:val="24"/>
        </w:rPr>
        <w:t>, after discovery of the breach, this is not clear from the Bill.</w:t>
      </w:r>
      <w:r w:rsidR="00AB03B8" w:rsidRPr="00946E97">
        <w:rPr>
          <w:rFonts w:cstheme="minorHAnsi"/>
          <w:bCs/>
          <w:sz w:val="24"/>
          <w:szCs w:val="24"/>
        </w:rPr>
        <w:t xml:space="preserve"> </w:t>
      </w:r>
    </w:p>
    <w:p w14:paraId="45548AB9" w14:textId="77777777" w:rsidR="00932B87" w:rsidRDefault="00AB03B8" w:rsidP="00D439AE">
      <w:pPr>
        <w:jc w:val="both"/>
        <w:rPr>
          <w:rFonts w:cstheme="minorHAnsi"/>
          <w:bCs/>
          <w:sz w:val="24"/>
          <w:szCs w:val="24"/>
        </w:rPr>
      </w:pPr>
      <w:r w:rsidRPr="00946E97">
        <w:rPr>
          <w:rFonts w:cstheme="minorHAnsi"/>
          <w:b/>
          <w:bCs/>
          <w:i/>
          <w:sz w:val="24"/>
          <w:szCs w:val="24"/>
        </w:rPr>
        <w:t>Recommendation</w:t>
      </w:r>
      <w:r w:rsidRPr="00946E97">
        <w:rPr>
          <w:rFonts w:cstheme="minorHAnsi"/>
          <w:b/>
          <w:bCs/>
          <w:sz w:val="24"/>
          <w:szCs w:val="24"/>
        </w:rPr>
        <w:t xml:space="preserve">: </w:t>
      </w:r>
      <w:r w:rsidR="00AC3CB9" w:rsidRPr="00946E97">
        <w:rPr>
          <w:rFonts w:cstheme="minorHAnsi"/>
          <w:bCs/>
          <w:sz w:val="24"/>
          <w:szCs w:val="24"/>
        </w:rPr>
        <w:t>The</w:t>
      </w:r>
      <w:r w:rsidRPr="00946E97">
        <w:rPr>
          <w:rFonts w:cstheme="minorHAnsi"/>
          <w:bCs/>
          <w:sz w:val="24"/>
          <w:szCs w:val="24"/>
        </w:rPr>
        <w:t xml:space="preserve"> Bill must expand on the notification requirements by the data controller to the Authority, including the nature of notification, the time allowed after brea</w:t>
      </w:r>
      <w:r w:rsidR="00210718">
        <w:rPr>
          <w:rFonts w:cstheme="minorHAnsi"/>
          <w:bCs/>
          <w:sz w:val="24"/>
          <w:szCs w:val="24"/>
        </w:rPr>
        <w:t>ch is discovered to notify the A</w:t>
      </w:r>
      <w:r w:rsidRPr="00946E97">
        <w:rPr>
          <w:rFonts w:cstheme="minorHAnsi"/>
          <w:bCs/>
          <w:sz w:val="24"/>
          <w:szCs w:val="24"/>
        </w:rPr>
        <w:t xml:space="preserve">uthority. This </w:t>
      </w:r>
      <w:r w:rsidR="00210718">
        <w:rPr>
          <w:rFonts w:cstheme="minorHAnsi"/>
          <w:bCs/>
          <w:sz w:val="24"/>
          <w:szCs w:val="24"/>
        </w:rPr>
        <w:t>cannot be</w:t>
      </w:r>
      <w:r w:rsidRPr="00946E97">
        <w:rPr>
          <w:rFonts w:cstheme="minorHAnsi"/>
          <w:bCs/>
          <w:sz w:val="24"/>
          <w:szCs w:val="24"/>
        </w:rPr>
        <w:t xml:space="preserve"> more than 72 hours, unless reasons for further delay are provided. If the drafters are concerned with a </w:t>
      </w:r>
      <w:r w:rsidR="00210718">
        <w:rPr>
          <w:rFonts w:cstheme="minorHAnsi"/>
          <w:bCs/>
          <w:sz w:val="24"/>
          <w:szCs w:val="24"/>
        </w:rPr>
        <w:t xml:space="preserve">voluminous Bill, </w:t>
      </w:r>
      <w:r w:rsidRPr="00946E97">
        <w:rPr>
          <w:rFonts w:cstheme="minorHAnsi"/>
          <w:bCs/>
          <w:sz w:val="24"/>
          <w:szCs w:val="24"/>
        </w:rPr>
        <w:t xml:space="preserve">these </w:t>
      </w:r>
      <w:r w:rsidR="00210718">
        <w:rPr>
          <w:rFonts w:cstheme="minorHAnsi"/>
          <w:bCs/>
          <w:sz w:val="24"/>
          <w:szCs w:val="24"/>
        </w:rPr>
        <w:t>clarifications must be included in regulations.</w:t>
      </w:r>
      <w:r w:rsidRPr="00946E97">
        <w:rPr>
          <w:rFonts w:cstheme="minorHAnsi"/>
          <w:bCs/>
          <w:sz w:val="24"/>
          <w:szCs w:val="24"/>
        </w:rPr>
        <w:t xml:space="preserve"> </w:t>
      </w:r>
      <w:r w:rsidR="00E27EF0">
        <w:rPr>
          <w:rFonts w:cstheme="minorHAnsi"/>
          <w:bCs/>
          <w:sz w:val="24"/>
          <w:szCs w:val="24"/>
        </w:rPr>
        <w:t>O</w:t>
      </w:r>
      <w:r w:rsidRPr="00946E97">
        <w:rPr>
          <w:rFonts w:cstheme="minorHAnsi"/>
          <w:bCs/>
          <w:sz w:val="24"/>
          <w:szCs w:val="24"/>
        </w:rPr>
        <w:t>therwise as currently framed s19 is insufficient to allow the Aut</w:t>
      </w:r>
      <w:r w:rsidR="00347F04">
        <w:rPr>
          <w:rFonts w:cstheme="minorHAnsi"/>
          <w:bCs/>
          <w:sz w:val="24"/>
          <w:szCs w:val="24"/>
        </w:rPr>
        <w:t xml:space="preserve">hority to exercise oversight on </w:t>
      </w:r>
      <w:r w:rsidRPr="00946E97">
        <w:rPr>
          <w:rFonts w:cstheme="minorHAnsi"/>
          <w:bCs/>
          <w:sz w:val="24"/>
          <w:szCs w:val="24"/>
        </w:rPr>
        <w:t>data controllers</w:t>
      </w:r>
      <w:r w:rsidR="00347F04">
        <w:rPr>
          <w:rFonts w:cstheme="minorHAnsi"/>
          <w:bCs/>
          <w:sz w:val="24"/>
          <w:szCs w:val="24"/>
        </w:rPr>
        <w:t>, and or processors</w:t>
      </w:r>
      <w:r w:rsidRPr="00946E97">
        <w:rPr>
          <w:rFonts w:cstheme="minorHAnsi"/>
          <w:bCs/>
          <w:sz w:val="24"/>
          <w:szCs w:val="24"/>
        </w:rPr>
        <w:t xml:space="preserve">. </w:t>
      </w:r>
      <w:r w:rsidR="00AC3CB9" w:rsidRPr="00946E97">
        <w:rPr>
          <w:rFonts w:cstheme="minorHAnsi"/>
          <w:bCs/>
          <w:sz w:val="24"/>
          <w:szCs w:val="24"/>
        </w:rPr>
        <w:t>Notification guidelines or regulations should specify a) nature of the personal data breach, number of data subjects affected, categories of data breached; b) include contact persons or details for data protection officer; c) likely impact of the data breach; and d) measures taken by controller</w:t>
      </w:r>
      <w:r w:rsidR="001C3789" w:rsidRPr="00946E97">
        <w:rPr>
          <w:rFonts w:cstheme="minorHAnsi"/>
          <w:bCs/>
          <w:sz w:val="24"/>
          <w:szCs w:val="24"/>
        </w:rPr>
        <w:t>.</w:t>
      </w:r>
      <w:r w:rsidR="00AC3CB9" w:rsidRPr="00946E97">
        <w:rPr>
          <w:rStyle w:val="FootnoteReference"/>
          <w:rFonts w:cstheme="minorHAnsi"/>
          <w:bCs/>
          <w:sz w:val="24"/>
          <w:szCs w:val="24"/>
        </w:rPr>
        <w:footnoteReference w:id="16"/>
      </w:r>
      <w:r w:rsidR="00AC3CB9" w:rsidRPr="00946E97">
        <w:rPr>
          <w:rFonts w:cstheme="minorHAnsi"/>
          <w:bCs/>
          <w:sz w:val="24"/>
          <w:szCs w:val="24"/>
        </w:rPr>
        <w:t xml:space="preserve"> </w:t>
      </w:r>
    </w:p>
    <w:p w14:paraId="575ABDA9" w14:textId="77777777" w:rsidR="00F41DF4" w:rsidRPr="00946E97" w:rsidRDefault="00F41DF4" w:rsidP="00D439AE">
      <w:pPr>
        <w:jc w:val="both"/>
        <w:rPr>
          <w:rFonts w:cstheme="minorHAnsi"/>
          <w:bCs/>
          <w:sz w:val="24"/>
          <w:szCs w:val="24"/>
        </w:rPr>
      </w:pPr>
    </w:p>
    <w:p w14:paraId="4F2AF028" w14:textId="77777777" w:rsidR="00317C5A" w:rsidRPr="005A1CAD" w:rsidRDefault="00317C5A" w:rsidP="005A1CAD">
      <w:pPr>
        <w:pStyle w:val="ListParagraph"/>
        <w:numPr>
          <w:ilvl w:val="0"/>
          <w:numId w:val="14"/>
        </w:numPr>
        <w:jc w:val="both"/>
        <w:rPr>
          <w:rFonts w:cstheme="minorHAnsi"/>
          <w:b/>
          <w:bCs/>
          <w:sz w:val="24"/>
          <w:szCs w:val="24"/>
        </w:rPr>
      </w:pPr>
      <w:r w:rsidRPr="005A1CAD">
        <w:rPr>
          <w:rFonts w:cstheme="minorHAnsi"/>
          <w:b/>
          <w:bCs/>
          <w:sz w:val="24"/>
          <w:szCs w:val="24"/>
        </w:rPr>
        <w:t>Notification of Data Subject</w:t>
      </w:r>
    </w:p>
    <w:p w14:paraId="3D4C20B9" w14:textId="77777777" w:rsidR="00AC3CB9" w:rsidRPr="00946E97" w:rsidRDefault="00AC3CB9" w:rsidP="00D439AE">
      <w:pPr>
        <w:jc w:val="both"/>
        <w:rPr>
          <w:rFonts w:cstheme="minorHAnsi"/>
          <w:bCs/>
          <w:sz w:val="24"/>
          <w:szCs w:val="24"/>
        </w:rPr>
      </w:pPr>
      <w:r w:rsidRPr="00946E97">
        <w:rPr>
          <w:rFonts w:cstheme="minorHAnsi"/>
          <w:b/>
          <w:bCs/>
          <w:i/>
          <w:sz w:val="24"/>
          <w:szCs w:val="24"/>
        </w:rPr>
        <w:t>Issue</w:t>
      </w:r>
      <w:r w:rsidRPr="00946E97">
        <w:rPr>
          <w:rFonts w:cstheme="minorHAnsi"/>
          <w:bCs/>
          <w:sz w:val="24"/>
          <w:szCs w:val="24"/>
        </w:rPr>
        <w:t xml:space="preserve">: </w:t>
      </w:r>
      <w:r w:rsidR="00317C5A" w:rsidRPr="00946E97">
        <w:rPr>
          <w:rFonts w:cstheme="minorHAnsi"/>
          <w:bCs/>
          <w:sz w:val="24"/>
          <w:szCs w:val="24"/>
        </w:rPr>
        <w:t>Notification to Data Subject</w:t>
      </w:r>
    </w:p>
    <w:p w14:paraId="2C902C27" w14:textId="77777777" w:rsidR="00406061" w:rsidRPr="00946E97" w:rsidRDefault="00406061" w:rsidP="00D439AE">
      <w:pPr>
        <w:jc w:val="both"/>
        <w:rPr>
          <w:rFonts w:cstheme="minorHAnsi"/>
          <w:bCs/>
          <w:sz w:val="24"/>
          <w:szCs w:val="24"/>
        </w:rPr>
      </w:pPr>
      <w:r w:rsidRPr="00946E97">
        <w:rPr>
          <w:rFonts w:cstheme="minorHAnsi"/>
          <w:b/>
          <w:bCs/>
          <w:i/>
          <w:sz w:val="24"/>
          <w:szCs w:val="24"/>
        </w:rPr>
        <w:t>Discussion</w:t>
      </w:r>
      <w:r w:rsidRPr="00946E97">
        <w:rPr>
          <w:rFonts w:cstheme="minorHAnsi"/>
          <w:bCs/>
          <w:sz w:val="24"/>
          <w:szCs w:val="24"/>
        </w:rPr>
        <w:t xml:space="preserve">: </w:t>
      </w:r>
      <w:r w:rsidR="001C3789" w:rsidRPr="00946E97">
        <w:rPr>
          <w:rFonts w:cstheme="minorHAnsi"/>
          <w:bCs/>
          <w:sz w:val="24"/>
          <w:szCs w:val="24"/>
        </w:rPr>
        <w:t>The</w:t>
      </w:r>
      <w:r w:rsidRPr="00946E97">
        <w:rPr>
          <w:rFonts w:cstheme="minorHAnsi"/>
          <w:bCs/>
          <w:sz w:val="24"/>
          <w:szCs w:val="24"/>
        </w:rPr>
        <w:t xml:space="preserve"> Bill </w:t>
      </w:r>
      <w:r w:rsidR="00FE6DEE" w:rsidRPr="00946E97">
        <w:rPr>
          <w:rFonts w:cstheme="minorHAnsi"/>
          <w:bCs/>
          <w:sz w:val="24"/>
          <w:szCs w:val="24"/>
        </w:rPr>
        <w:t>is</w:t>
      </w:r>
      <w:r w:rsidR="001C3789" w:rsidRPr="00946E97">
        <w:rPr>
          <w:rFonts w:cstheme="minorHAnsi"/>
          <w:bCs/>
          <w:sz w:val="24"/>
          <w:szCs w:val="24"/>
        </w:rPr>
        <w:t xml:space="preserve"> silent on</w:t>
      </w:r>
      <w:r w:rsidRPr="00946E97">
        <w:rPr>
          <w:rFonts w:cstheme="minorHAnsi"/>
          <w:bCs/>
          <w:sz w:val="24"/>
          <w:szCs w:val="24"/>
        </w:rPr>
        <w:t xml:space="preserve"> notification of breach to data subjects.</w:t>
      </w:r>
      <w:r w:rsidR="00D61AD4" w:rsidRPr="00946E97">
        <w:rPr>
          <w:rStyle w:val="FootnoteReference"/>
          <w:rFonts w:cstheme="minorHAnsi"/>
          <w:bCs/>
          <w:sz w:val="24"/>
          <w:szCs w:val="24"/>
        </w:rPr>
        <w:footnoteReference w:id="17"/>
      </w:r>
      <w:r w:rsidRPr="00946E97">
        <w:rPr>
          <w:rFonts w:cstheme="minorHAnsi"/>
          <w:bCs/>
          <w:sz w:val="24"/>
          <w:szCs w:val="24"/>
        </w:rPr>
        <w:t xml:space="preserve"> </w:t>
      </w:r>
    </w:p>
    <w:p w14:paraId="31FAB0EE" w14:textId="77777777" w:rsidR="006C522C" w:rsidRPr="00946E97" w:rsidRDefault="001C3789" w:rsidP="00D439AE">
      <w:pPr>
        <w:jc w:val="both"/>
        <w:rPr>
          <w:rFonts w:cstheme="minorHAnsi"/>
          <w:sz w:val="24"/>
          <w:szCs w:val="24"/>
        </w:rPr>
      </w:pPr>
      <w:r w:rsidRPr="00946E97">
        <w:rPr>
          <w:rFonts w:cstheme="minorHAnsi"/>
          <w:b/>
          <w:bCs/>
          <w:i/>
          <w:sz w:val="24"/>
          <w:szCs w:val="24"/>
        </w:rPr>
        <w:t>Recommendation</w:t>
      </w:r>
      <w:r w:rsidRPr="00946E97">
        <w:rPr>
          <w:rFonts w:cstheme="minorHAnsi"/>
          <w:b/>
          <w:bCs/>
          <w:sz w:val="24"/>
          <w:szCs w:val="24"/>
        </w:rPr>
        <w:t xml:space="preserve">: </w:t>
      </w:r>
      <w:r w:rsidR="00B2559B" w:rsidRPr="00946E97">
        <w:rPr>
          <w:rFonts w:cstheme="minorHAnsi"/>
          <w:bCs/>
          <w:sz w:val="24"/>
          <w:szCs w:val="24"/>
        </w:rPr>
        <w:t xml:space="preserve">A reading of the Bill there is no provision allowing for communicating to the data subject of the developments or breach. </w:t>
      </w:r>
      <w:r w:rsidR="00B2559B">
        <w:rPr>
          <w:rFonts w:cstheme="minorHAnsi"/>
          <w:bCs/>
          <w:sz w:val="24"/>
          <w:szCs w:val="24"/>
        </w:rPr>
        <w:t>A d</w:t>
      </w:r>
      <w:r w:rsidRPr="00946E97">
        <w:rPr>
          <w:rFonts w:cstheme="minorHAnsi"/>
          <w:bCs/>
          <w:sz w:val="24"/>
          <w:szCs w:val="24"/>
        </w:rPr>
        <w:t>ata subject should be notified of data breach and it shall b</w:t>
      </w:r>
      <w:r w:rsidR="003F7ECA">
        <w:rPr>
          <w:rFonts w:cstheme="minorHAnsi"/>
          <w:bCs/>
          <w:sz w:val="24"/>
          <w:szCs w:val="24"/>
        </w:rPr>
        <w:t>e in plain and clear language</w:t>
      </w:r>
      <w:r w:rsidRPr="00946E97">
        <w:rPr>
          <w:rFonts w:cstheme="minorHAnsi"/>
          <w:bCs/>
          <w:sz w:val="24"/>
          <w:szCs w:val="24"/>
        </w:rPr>
        <w:t xml:space="preserve">. Lack of notification of data subjects means that they are not able to seek redress or mitigate harm. Even if the information was encrypted or </w:t>
      </w:r>
      <w:r w:rsidR="00DD124E">
        <w:rPr>
          <w:rFonts w:cstheme="minorHAnsi"/>
          <w:bCs/>
          <w:sz w:val="24"/>
          <w:szCs w:val="24"/>
        </w:rPr>
        <w:t>under storage</w:t>
      </w:r>
      <w:r w:rsidRPr="00946E97">
        <w:rPr>
          <w:rFonts w:cstheme="minorHAnsi"/>
          <w:bCs/>
          <w:sz w:val="24"/>
          <w:szCs w:val="24"/>
        </w:rPr>
        <w:t xml:space="preserve"> capability that limits exposure, notification to the data subject is </w:t>
      </w:r>
      <w:r w:rsidR="00CD25E8">
        <w:rPr>
          <w:rFonts w:cstheme="minorHAnsi"/>
          <w:bCs/>
          <w:sz w:val="24"/>
          <w:szCs w:val="24"/>
        </w:rPr>
        <w:t>right, and not a privilege</w:t>
      </w:r>
      <w:r w:rsidRPr="00946E97">
        <w:rPr>
          <w:rFonts w:cstheme="minorHAnsi"/>
          <w:bCs/>
          <w:sz w:val="24"/>
          <w:szCs w:val="24"/>
        </w:rPr>
        <w:t xml:space="preserve">. </w:t>
      </w:r>
      <w:r w:rsidR="00F95F31" w:rsidRPr="00946E97">
        <w:rPr>
          <w:rFonts w:cstheme="minorHAnsi"/>
          <w:bCs/>
          <w:sz w:val="24"/>
          <w:szCs w:val="24"/>
        </w:rPr>
        <w:t>South Africa</w:t>
      </w:r>
      <w:r w:rsidR="00C0653E">
        <w:rPr>
          <w:rFonts w:cstheme="minorHAnsi"/>
          <w:bCs/>
          <w:sz w:val="24"/>
          <w:szCs w:val="24"/>
        </w:rPr>
        <w:t>’s POPI Act, s22 provides tha</w:t>
      </w:r>
      <w:r w:rsidR="00E951FE" w:rsidRPr="00946E97">
        <w:rPr>
          <w:rFonts w:cstheme="minorHAnsi"/>
          <w:bCs/>
          <w:sz w:val="24"/>
          <w:szCs w:val="24"/>
        </w:rPr>
        <w:t xml:space="preserve">t notification shall be in writing and communicated through </w:t>
      </w:r>
      <w:r w:rsidR="00E951FE" w:rsidRPr="00946E97">
        <w:rPr>
          <w:rFonts w:cstheme="minorHAnsi"/>
          <w:bCs/>
          <w:sz w:val="24"/>
          <w:szCs w:val="24"/>
        </w:rPr>
        <w:lastRenderedPageBreak/>
        <w:t>mail, sent by email, or placed in prominent position on t</w:t>
      </w:r>
      <w:r w:rsidR="006C522C" w:rsidRPr="00946E97">
        <w:rPr>
          <w:rFonts w:cstheme="minorHAnsi"/>
          <w:bCs/>
          <w:sz w:val="24"/>
          <w:szCs w:val="24"/>
        </w:rPr>
        <w:t>he website of responsible party, or published in the news.</w:t>
      </w:r>
      <w:r w:rsidR="0087411A" w:rsidRPr="00946E97">
        <w:rPr>
          <w:rFonts w:cstheme="minorHAnsi"/>
          <w:bCs/>
          <w:sz w:val="24"/>
          <w:szCs w:val="24"/>
        </w:rPr>
        <w:t xml:space="preserve"> Uganda has similar provisions.</w:t>
      </w:r>
      <w:r w:rsidR="0087411A" w:rsidRPr="00946E97">
        <w:rPr>
          <w:rStyle w:val="FootnoteReference"/>
          <w:rFonts w:cstheme="minorHAnsi"/>
          <w:bCs/>
          <w:sz w:val="24"/>
          <w:szCs w:val="24"/>
        </w:rPr>
        <w:footnoteReference w:id="18"/>
      </w:r>
      <w:r w:rsidR="0087411A" w:rsidRPr="00946E97">
        <w:rPr>
          <w:rFonts w:cstheme="minorHAnsi"/>
          <w:bCs/>
          <w:sz w:val="24"/>
          <w:szCs w:val="24"/>
        </w:rPr>
        <w:t xml:space="preserve"> </w:t>
      </w:r>
      <w:r w:rsidR="00C0653E" w:rsidRPr="00946E97">
        <w:rPr>
          <w:rFonts w:cstheme="minorHAnsi"/>
          <w:bCs/>
          <w:sz w:val="24"/>
          <w:szCs w:val="24"/>
        </w:rPr>
        <w:t xml:space="preserve">Notification can </w:t>
      </w:r>
      <w:r w:rsidR="00C0653E">
        <w:rPr>
          <w:rFonts w:cstheme="minorHAnsi"/>
          <w:bCs/>
          <w:sz w:val="24"/>
          <w:szCs w:val="24"/>
        </w:rPr>
        <w:t xml:space="preserve">only be waived </w:t>
      </w:r>
      <w:r w:rsidR="00C0653E" w:rsidRPr="00946E97">
        <w:rPr>
          <w:rFonts w:cstheme="minorHAnsi"/>
          <w:bCs/>
          <w:sz w:val="24"/>
          <w:szCs w:val="24"/>
        </w:rPr>
        <w:t>if the identity of such data subject cannot be established or if the notification constitutes a disproportionate effort</w:t>
      </w:r>
      <w:r w:rsidR="00C0653E" w:rsidRPr="00946E97">
        <w:rPr>
          <w:rStyle w:val="FootnoteReference"/>
          <w:rFonts w:cstheme="minorHAnsi"/>
          <w:bCs/>
          <w:sz w:val="24"/>
          <w:szCs w:val="24"/>
        </w:rPr>
        <w:footnoteReference w:id="19"/>
      </w:r>
      <w:r w:rsidR="00C0653E" w:rsidRPr="00946E97">
        <w:rPr>
          <w:rFonts w:cstheme="minorHAnsi"/>
          <w:bCs/>
          <w:sz w:val="24"/>
          <w:szCs w:val="24"/>
        </w:rPr>
        <w:t xml:space="preserve"> as defined under the Bill.</w:t>
      </w:r>
    </w:p>
    <w:p w14:paraId="79626F5A" w14:textId="77777777" w:rsidR="00FE6DEE" w:rsidRPr="005A1CAD" w:rsidRDefault="00802300" w:rsidP="005A1CAD">
      <w:pPr>
        <w:pStyle w:val="ListParagraph"/>
        <w:numPr>
          <w:ilvl w:val="0"/>
          <w:numId w:val="14"/>
        </w:numPr>
        <w:jc w:val="both"/>
        <w:rPr>
          <w:rFonts w:cstheme="minorHAnsi"/>
          <w:b/>
          <w:sz w:val="24"/>
          <w:szCs w:val="24"/>
        </w:rPr>
      </w:pPr>
      <w:r w:rsidRPr="005A1CAD">
        <w:rPr>
          <w:rFonts w:cstheme="minorHAnsi"/>
          <w:b/>
          <w:sz w:val="24"/>
          <w:szCs w:val="24"/>
        </w:rPr>
        <w:t>Obligation of notification, data protection officer appointment</w:t>
      </w:r>
    </w:p>
    <w:p w14:paraId="5056C82E" w14:textId="77777777" w:rsidR="00FE6DEE" w:rsidRPr="00946E97" w:rsidRDefault="00FE6DEE" w:rsidP="00D439AE">
      <w:pPr>
        <w:jc w:val="both"/>
        <w:rPr>
          <w:rFonts w:cstheme="minorHAnsi"/>
          <w:sz w:val="24"/>
          <w:szCs w:val="24"/>
        </w:rPr>
      </w:pPr>
      <w:r w:rsidRPr="00946E97">
        <w:rPr>
          <w:rFonts w:cstheme="minorHAnsi"/>
          <w:b/>
          <w:i/>
          <w:sz w:val="24"/>
          <w:szCs w:val="24"/>
        </w:rPr>
        <w:t>Issue</w:t>
      </w:r>
      <w:r w:rsidRPr="00946E97">
        <w:rPr>
          <w:rFonts w:cstheme="minorHAnsi"/>
          <w:sz w:val="24"/>
          <w:szCs w:val="24"/>
        </w:rPr>
        <w:t>: obligation of notification to authority, focusing on automated operation or set of operations, appointment of data protection officer</w:t>
      </w:r>
      <w:r w:rsidR="00067B10" w:rsidRPr="00946E97">
        <w:rPr>
          <w:rFonts w:cstheme="minorHAnsi"/>
          <w:sz w:val="24"/>
          <w:szCs w:val="24"/>
        </w:rPr>
        <w:t xml:space="preserve"> (DPOs)</w:t>
      </w:r>
    </w:p>
    <w:p w14:paraId="2C4A698C" w14:textId="4A577F30" w:rsidR="00FE6DEE" w:rsidRPr="00946E97" w:rsidRDefault="00FE6DEE" w:rsidP="00D439AE">
      <w:pPr>
        <w:jc w:val="both"/>
        <w:rPr>
          <w:rFonts w:cstheme="minorHAnsi"/>
          <w:sz w:val="24"/>
          <w:szCs w:val="24"/>
        </w:rPr>
      </w:pPr>
      <w:r w:rsidRPr="00946E97">
        <w:rPr>
          <w:rFonts w:cstheme="minorHAnsi"/>
          <w:b/>
          <w:i/>
          <w:sz w:val="24"/>
          <w:szCs w:val="24"/>
        </w:rPr>
        <w:t>Discussion</w:t>
      </w:r>
      <w:r w:rsidR="00994937" w:rsidRPr="00946E97">
        <w:rPr>
          <w:rFonts w:cstheme="minorHAnsi"/>
          <w:sz w:val="24"/>
          <w:szCs w:val="24"/>
        </w:rPr>
        <w:t xml:space="preserve">: </w:t>
      </w:r>
      <w:r w:rsidR="00255E4A" w:rsidRPr="00946E97">
        <w:rPr>
          <w:rFonts w:cstheme="minorHAnsi"/>
          <w:sz w:val="24"/>
          <w:szCs w:val="24"/>
        </w:rPr>
        <w:t xml:space="preserve">the section introduces a new term: automated operation in addition to automated processing. The section is </w:t>
      </w:r>
      <w:r w:rsidR="0076607B">
        <w:rPr>
          <w:rFonts w:cstheme="minorHAnsi"/>
          <w:sz w:val="24"/>
          <w:szCs w:val="24"/>
        </w:rPr>
        <w:t xml:space="preserve">convoluted, and </w:t>
      </w:r>
      <w:r w:rsidR="00255E4A" w:rsidRPr="00946E97">
        <w:rPr>
          <w:rFonts w:cstheme="minorHAnsi"/>
          <w:sz w:val="24"/>
          <w:szCs w:val="24"/>
        </w:rPr>
        <w:t>easily create</w:t>
      </w:r>
      <w:r w:rsidR="0076607B">
        <w:rPr>
          <w:rFonts w:cstheme="minorHAnsi"/>
          <w:sz w:val="24"/>
          <w:szCs w:val="24"/>
        </w:rPr>
        <w:t>s</w:t>
      </w:r>
      <w:r w:rsidR="00255E4A" w:rsidRPr="00946E97">
        <w:rPr>
          <w:rFonts w:cstheme="minorHAnsi"/>
          <w:sz w:val="24"/>
          <w:szCs w:val="24"/>
        </w:rPr>
        <w:t xml:space="preserve"> confusion of its intended objective. Notification for processing of data is also exempted if “there is no apparent risk of infringement of the data subject’s rights and freedoms” or the data controller has appointed a data protection officer. This is the first time a data protection officer </w:t>
      </w:r>
      <w:r w:rsidR="0076607B">
        <w:rPr>
          <w:rFonts w:cstheme="minorHAnsi"/>
          <w:sz w:val="24"/>
          <w:szCs w:val="24"/>
        </w:rPr>
        <w:t>is introduced</w:t>
      </w:r>
      <w:r w:rsidR="00255E4A" w:rsidRPr="00946E97">
        <w:rPr>
          <w:rFonts w:cstheme="minorHAnsi"/>
          <w:sz w:val="24"/>
          <w:szCs w:val="24"/>
        </w:rPr>
        <w:t xml:space="preserve"> in the Bill, in the middle of notification issue, which is the responsibility of a data controller, and or processor. </w:t>
      </w:r>
      <w:r w:rsidR="00C251FC" w:rsidRPr="00946E97">
        <w:rPr>
          <w:rFonts w:cstheme="minorHAnsi"/>
          <w:sz w:val="24"/>
          <w:szCs w:val="24"/>
        </w:rPr>
        <w:t>Even though</w:t>
      </w:r>
      <w:r w:rsidR="00255E4A" w:rsidRPr="00946E97">
        <w:rPr>
          <w:rFonts w:cstheme="minorHAnsi"/>
          <w:sz w:val="24"/>
          <w:szCs w:val="24"/>
        </w:rPr>
        <w:t xml:space="preserve"> the </w:t>
      </w:r>
      <w:r w:rsidR="00C251FC" w:rsidRPr="00946E97">
        <w:rPr>
          <w:rFonts w:cstheme="minorHAnsi"/>
          <w:sz w:val="24"/>
          <w:szCs w:val="24"/>
        </w:rPr>
        <w:t>DPO</w:t>
      </w:r>
      <w:r w:rsidR="0076607B">
        <w:rPr>
          <w:rFonts w:cstheme="minorHAnsi"/>
          <w:sz w:val="24"/>
          <w:szCs w:val="24"/>
        </w:rPr>
        <w:t xml:space="preserve"> under the Bill is</w:t>
      </w:r>
      <w:r w:rsidR="00255E4A" w:rsidRPr="00946E97">
        <w:rPr>
          <w:rFonts w:cstheme="minorHAnsi"/>
          <w:sz w:val="24"/>
          <w:szCs w:val="24"/>
        </w:rPr>
        <w:t xml:space="preserve"> charged by the </w:t>
      </w:r>
      <w:r w:rsidR="00A20925" w:rsidRPr="00946E97">
        <w:rPr>
          <w:rFonts w:cstheme="minorHAnsi"/>
          <w:sz w:val="24"/>
          <w:szCs w:val="24"/>
        </w:rPr>
        <w:t>controller</w:t>
      </w:r>
      <w:r w:rsidR="00A20925">
        <w:rPr>
          <w:rFonts w:cstheme="minorHAnsi"/>
          <w:sz w:val="24"/>
          <w:szCs w:val="24"/>
        </w:rPr>
        <w:t xml:space="preserve"> </w:t>
      </w:r>
      <w:r w:rsidR="00A20925" w:rsidRPr="00946E97">
        <w:rPr>
          <w:rFonts w:cstheme="minorHAnsi"/>
          <w:sz w:val="24"/>
          <w:szCs w:val="24"/>
        </w:rPr>
        <w:t>“</w:t>
      </w:r>
      <w:r w:rsidR="00255E4A" w:rsidRPr="00946E97">
        <w:rPr>
          <w:rFonts w:cstheme="minorHAnsi"/>
          <w:sz w:val="24"/>
          <w:szCs w:val="24"/>
        </w:rPr>
        <w:t>with ensuring, in an independent manner, compliance with the obligations provided for in this Act” there are no detailed provisions of her or his responsibilities</w:t>
      </w:r>
      <w:r w:rsidR="00067B10" w:rsidRPr="00946E97">
        <w:rPr>
          <w:rFonts w:cstheme="minorHAnsi"/>
          <w:sz w:val="24"/>
          <w:szCs w:val="24"/>
        </w:rPr>
        <w:t xml:space="preserve"> other than leaving that for guidelines to expand</w:t>
      </w:r>
      <w:r w:rsidR="00255E4A" w:rsidRPr="00946E97">
        <w:rPr>
          <w:rFonts w:cstheme="minorHAnsi"/>
          <w:sz w:val="24"/>
          <w:szCs w:val="24"/>
        </w:rPr>
        <w:t xml:space="preserve">. </w:t>
      </w:r>
    </w:p>
    <w:p w14:paraId="3DBFFBB9" w14:textId="77777777" w:rsidR="00FE6DEE" w:rsidRDefault="00FE6DEE" w:rsidP="00D439AE">
      <w:pPr>
        <w:jc w:val="both"/>
        <w:rPr>
          <w:rFonts w:cstheme="minorHAnsi"/>
          <w:sz w:val="24"/>
          <w:szCs w:val="24"/>
        </w:rPr>
      </w:pPr>
      <w:r w:rsidRPr="00946E97">
        <w:rPr>
          <w:rFonts w:cstheme="minorHAnsi"/>
          <w:b/>
          <w:i/>
          <w:sz w:val="24"/>
          <w:szCs w:val="24"/>
        </w:rPr>
        <w:t>Recommendation</w:t>
      </w:r>
      <w:r w:rsidR="00255E4A" w:rsidRPr="00946E97">
        <w:rPr>
          <w:rFonts w:cstheme="minorHAnsi"/>
          <w:sz w:val="24"/>
          <w:szCs w:val="24"/>
        </w:rPr>
        <w:t xml:space="preserve">: </w:t>
      </w:r>
      <w:r w:rsidR="00CA111C" w:rsidRPr="00946E97">
        <w:rPr>
          <w:rFonts w:cstheme="minorHAnsi"/>
          <w:sz w:val="24"/>
          <w:szCs w:val="24"/>
        </w:rPr>
        <w:t>The</w:t>
      </w:r>
      <w:r w:rsidR="00255E4A" w:rsidRPr="00946E97">
        <w:rPr>
          <w:rFonts w:cstheme="minorHAnsi"/>
          <w:sz w:val="24"/>
          <w:szCs w:val="24"/>
        </w:rPr>
        <w:t xml:space="preserve"> Bill should use consistent terms throughout unless if automated operation or set of operations is defined to mean something different from automated processing which the Bill uses on several instances. The </w:t>
      </w:r>
      <w:r w:rsidR="00592B2F">
        <w:rPr>
          <w:rFonts w:cstheme="minorHAnsi"/>
          <w:sz w:val="24"/>
          <w:szCs w:val="24"/>
        </w:rPr>
        <w:t>DPO</w:t>
      </w:r>
      <w:r w:rsidR="00067B10" w:rsidRPr="00946E97">
        <w:rPr>
          <w:rFonts w:cstheme="minorHAnsi"/>
          <w:sz w:val="24"/>
          <w:szCs w:val="24"/>
        </w:rPr>
        <w:t xml:space="preserve"> appointments and functions require development as much as is possible</w:t>
      </w:r>
      <w:r w:rsidR="00592B2F">
        <w:rPr>
          <w:rFonts w:cstheme="minorHAnsi"/>
          <w:sz w:val="24"/>
          <w:szCs w:val="24"/>
        </w:rPr>
        <w:t xml:space="preserve"> in the Bill</w:t>
      </w:r>
      <w:r w:rsidR="00067B10" w:rsidRPr="00946E97">
        <w:rPr>
          <w:rFonts w:cstheme="minorHAnsi"/>
          <w:sz w:val="24"/>
          <w:szCs w:val="24"/>
        </w:rPr>
        <w:t xml:space="preserve">, or immediately after enactment but before commencement to allow institutions to comply if they need </w:t>
      </w:r>
      <w:r w:rsidR="00592B2F">
        <w:rPr>
          <w:rFonts w:cstheme="minorHAnsi"/>
          <w:sz w:val="24"/>
          <w:szCs w:val="24"/>
        </w:rPr>
        <w:t xml:space="preserve">to appoint </w:t>
      </w:r>
      <w:r w:rsidR="00067B10" w:rsidRPr="00946E97">
        <w:rPr>
          <w:rFonts w:cstheme="minorHAnsi"/>
          <w:sz w:val="24"/>
          <w:szCs w:val="24"/>
        </w:rPr>
        <w:t>DPOs</w:t>
      </w:r>
      <w:r w:rsidR="00183764" w:rsidRPr="00946E97">
        <w:rPr>
          <w:rFonts w:cstheme="minorHAnsi"/>
          <w:sz w:val="24"/>
          <w:szCs w:val="24"/>
        </w:rPr>
        <w:t xml:space="preserve">. </w:t>
      </w:r>
      <w:r w:rsidR="006A1F3E">
        <w:rPr>
          <w:rFonts w:cstheme="minorHAnsi"/>
          <w:sz w:val="24"/>
          <w:szCs w:val="24"/>
        </w:rPr>
        <w:t>There is no clarity on when a DPO is required or not.</w:t>
      </w:r>
    </w:p>
    <w:p w14:paraId="0928B636" w14:textId="77777777" w:rsidR="00F41DF4" w:rsidRPr="00946E97" w:rsidRDefault="00F41DF4" w:rsidP="00D439AE">
      <w:pPr>
        <w:jc w:val="both"/>
        <w:rPr>
          <w:rFonts w:cstheme="minorHAnsi"/>
          <w:sz w:val="24"/>
          <w:szCs w:val="24"/>
        </w:rPr>
      </w:pPr>
    </w:p>
    <w:p w14:paraId="79E2EC76" w14:textId="77777777" w:rsidR="00D61AD4" w:rsidRPr="005A1CAD" w:rsidRDefault="00D61AD4" w:rsidP="005A1CAD">
      <w:pPr>
        <w:pStyle w:val="ListParagraph"/>
        <w:numPr>
          <w:ilvl w:val="0"/>
          <w:numId w:val="14"/>
        </w:numPr>
        <w:jc w:val="both"/>
        <w:rPr>
          <w:rFonts w:cstheme="minorHAnsi"/>
          <w:b/>
          <w:sz w:val="24"/>
          <w:szCs w:val="24"/>
        </w:rPr>
      </w:pPr>
      <w:r w:rsidRPr="005A1CAD">
        <w:rPr>
          <w:rFonts w:cstheme="minorHAnsi"/>
          <w:b/>
          <w:sz w:val="24"/>
          <w:szCs w:val="24"/>
        </w:rPr>
        <w:t>Content of notification</w:t>
      </w:r>
      <w:r w:rsidR="006138CE" w:rsidRPr="005A1CAD">
        <w:rPr>
          <w:rFonts w:cstheme="minorHAnsi"/>
          <w:b/>
          <w:sz w:val="24"/>
          <w:szCs w:val="24"/>
        </w:rPr>
        <w:t xml:space="preserve"> and authorization</w:t>
      </w:r>
    </w:p>
    <w:p w14:paraId="11966993" w14:textId="77777777" w:rsidR="00D61AD4" w:rsidRPr="00946E97" w:rsidRDefault="00D61AD4" w:rsidP="00D439AE">
      <w:pPr>
        <w:jc w:val="both"/>
        <w:rPr>
          <w:rFonts w:cstheme="minorHAnsi"/>
          <w:sz w:val="24"/>
          <w:szCs w:val="24"/>
        </w:rPr>
      </w:pPr>
      <w:r w:rsidRPr="00946E97">
        <w:rPr>
          <w:rFonts w:cstheme="minorHAnsi"/>
          <w:b/>
          <w:i/>
          <w:sz w:val="24"/>
          <w:szCs w:val="24"/>
        </w:rPr>
        <w:t>Issue</w:t>
      </w:r>
      <w:r w:rsidRPr="00946E97">
        <w:rPr>
          <w:rFonts w:cstheme="minorHAnsi"/>
          <w:sz w:val="24"/>
          <w:szCs w:val="24"/>
        </w:rPr>
        <w:t>: content notification requirements and impact assessment</w:t>
      </w:r>
      <w:r w:rsidR="006138CE" w:rsidRPr="00946E97">
        <w:rPr>
          <w:rFonts w:cstheme="minorHAnsi"/>
          <w:sz w:val="24"/>
          <w:szCs w:val="24"/>
        </w:rPr>
        <w:t>, authorization</w:t>
      </w:r>
    </w:p>
    <w:p w14:paraId="525CE5DF" w14:textId="77777777" w:rsidR="00FC71F4" w:rsidRPr="00946E97" w:rsidRDefault="00D61AD4" w:rsidP="00D439AE">
      <w:pPr>
        <w:jc w:val="both"/>
        <w:rPr>
          <w:rFonts w:cstheme="minorHAnsi"/>
          <w:sz w:val="24"/>
          <w:szCs w:val="24"/>
        </w:rPr>
      </w:pPr>
      <w:r w:rsidRPr="00946E97">
        <w:rPr>
          <w:rFonts w:cstheme="minorHAnsi"/>
          <w:b/>
          <w:i/>
          <w:sz w:val="24"/>
          <w:szCs w:val="24"/>
        </w:rPr>
        <w:t>Discussion</w:t>
      </w:r>
      <w:r w:rsidRPr="00946E97">
        <w:rPr>
          <w:rFonts w:cstheme="minorHAnsi"/>
          <w:sz w:val="24"/>
          <w:szCs w:val="24"/>
        </w:rPr>
        <w:t>: this section provides for how</w:t>
      </w:r>
      <w:r w:rsidR="00364CD7">
        <w:rPr>
          <w:rFonts w:cstheme="minorHAnsi"/>
          <w:sz w:val="24"/>
          <w:szCs w:val="24"/>
        </w:rPr>
        <w:t xml:space="preserve"> the notification under s </w:t>
      </w:r>
      <w:r w:rsidRPr="00946E97">
        <w:rPr>
          <w:rFonts w:cstheme="minorHAnsi"/>
          <w:sz w:val="24"/>
          <w:szCs w:val="24"/>
        </w:rPr>
        <w:t>20 should be conducted. The section is elaborate and exhaustive</w:t>
      </w:r>
      <w:r w:rsidR="00364CD7">
        <w:rPr>
          <w:rFonts w:cstheme="minorHAnsi"/>
          <w:sz w:val="24"/>
          <w:szCs w:val="24"/>
        </w:rPr>
        <w:t xml:space="preserve">. A few issues to note: s </w:t>
      </w:r>
      <w:r w:rsidRPr="00946E97">
        <w:rPr>
          <w:rFonts w:cstheme="minorHAnsi"/>
          <w:sz w:val="24"/>
          <w:szCs w:val="24"/>
        </w:rPr>
        <w:t xml:space="preserve">21(k) provides for a preliminary assessment of whether security measures are provided for and are adequate for automated processing of data. </w:t>
      </w:r>
      <w:r w:rsidR="00074CA0" w:rsidRPr="00946E97">
        <w:rPr>
          <w:rFonts w:cstheme="minorHAnsi"/>
          <w:sz w:val="24"/>
          <w:szCs w:val="24"/>
        </w:rPr>
        <w:t xml:space="preserve">Section 21(3) provides that inspection should be conducted if data controller </w:t>
      </w:r>
      <w:r w:rsidR="007B6747" w:rsidRPr="00946E97">
        <w:rPr>
          <w:rFonts w:cstheme="minorHAnsi"/>
          <w:sz w:val="24"/>
          <w:szCs w:val="24"/>
        </w:rPr>
        <w:t>“</w:t>
      </w:r>
      <w:r w:rsidR="00074CA0" w:rsidRPr="00946E97">
        <w:rPr>
          <w:rFonts w:cstheme="minorHAnsi"/>
          <w:sz w:val="24"/>
          <w:szCs w:val="24"/>
        </w:rPr>
        <w:t>is of the opinion that there are risks to the privacy rights of data subjects</w:t>
      </w:r>
      <w:r w:rsidR="007B6747" w:rsidRPr="00946E97">
        <w:rPr>
          <w:rFonts w:cstheme="minorHAnsi"/>
          <w:sz w:val="24"/>
          <w:szCs w:val="24"/>
        </w:rPr>
        <w:t>”</w:t>
      </w:r>
      <w:r w:rsidR="00074CA0" w:rsidRPr="00946E97">
        <w:rPr>
          <w:rFonts w:cstheme="minorHAnsi"/>
          <w:sz w:val="24"/>
          <w:szCs w:val="24"/>
        </w:rPr>
        <w:t xml:space="preserve">. The inspection should </w:t>
      </w:r>
      <w:r w:rsidR="00074CA0" w:rsidRPr="00946E97">
        <w:rPr>
          <w:rFonts w:cstheme="minorHAnsi"/>
          <w:sz w:val="24"/>
          <w:szCs w:val="24"/>
        </w:rPr>
        <w:lastRenderedPageBreak/>
        <w:t xml:space="preserve">be prior to the commencement of the processing or transfer. </w:t>
      </w:r>
      <w:r w:rsidR="00EF365F" w:rsidRPr="00946E97">
        <w:rPr>
          <w:rFonts w:cstheme="minorHAnsi"/>
          <w:sz w:val="24"/>
          <w:szCs w:val="24"/>
        </w:rPr>
        <w:t xml:space="preserve">Section 20 also briefly mentions data retention. </w:t>
      </w:r>
    </w:p>
    <w:p w14:paraId="50EB8210" w14:textId="77777777" w:rsidR="006138CE" w:rsidRPr="00946E97" w:rsidRDefault="00A9670A" w:rsidP="00D439AE">
      <w:pPr>
        <w:jc w:val="both"/>
        <w:rPr>
          <w:rFonts w:cstheme="minorHAnsi"/>
          <w:sz w:val="24"/>
          <w:szCs w:val="24"/>
        </w:rPr>
      </w:pPr>
      <w:r w:rsidRPr="00946E97">
        <w:rPr>
          <w:rFonts w:cstheme="minorHAnsi"/>
          <w:sz w:val="24"/>
          <w:szCs w:val="24"/>
        </w:rPr>
        <w:t>The Bill does not outline the criteria to be used to decide to conduct an inspection and assessment of security systems other than it being the opinion that specific risks to privacy rights</w:t>
      </w:r>
      <w:r w:rsidR="00364CD7">
        <w:rPr>
          <w:rFonts w:cstheme="minorHAnsi"/>
          <w:sz w:val="24"/>
          <w:szCs w:val="24"/>
        </w:rPr>
        <w:t xml:space="preserve"> exists</w:t>
      </w:r>
      <w:r w:rsidRPr="00946E97">
        <w:rPr>
          <w:rFonts w:cstheme="minorHAnsi"/>
          <w:sz w:val="24"/>
          <w:szCs w:val="24"/>
        </w:rPr>
        <w:t>.</w:t>
      </w:r>
      <w:r w:rsidR="00FC71F4" w:rsidRPr="00946E97">
        <w:rPr>
          <w:rStyle w:val="FootnoteReference"/>
          <w:rFonts w:cstheme="minorHAnsi"/>
          <w:sz w:val="24"/>
          <w:szCs w:val="24"/>
        </w:rPr>
        <w:footnoteReference w:id="20"/>
      </w:r>
      <w:r w:rsidR="006138CE" w:rsidRPr="00946E97">
        <w:rPr>
          <w:rFonts w:cstheme="minorHAnsi"/>
          <w:sz w:val="24"/>
          <w:szCs w:val="24"/>
        </w:rPr>
        <w:t xml:space="preserve"> The fact that s 22 allows the Authority to establish categories of data which requires specific processing based on risks to fundamental rights of data subjects is not sufficient. Categories of data do not address the discretion to </w:t>
      </w:r>
      <w:r w:rsidR="007B6747" w:rsidRPr="00946E97">
        <w:rPr>
          <w:rFonts w:cstheme="minorHAnsi"/>
          <w:sz w:val="24"/>
          <w:szCs w:val="24"/>
        </w:rPr>
        <w:t>conduct</w:t>
      </w:r>
      <w:r w:rsidR="006F4FC1">
        <w:rPr>
          <w:rFonts w:cstheme="minorHAnsi"/>
          <w:sz w:val="24"/>
          <w:szCs w:val="24"/>
        </w:rPr>
        <w:t xml:space="preserve"> or not to conduct</w:t>
      </w:r>
      <w:r w:rsidR="00415BF8">
        <w:rPr>
          <w:rFonts w:cstheme="minorHAnsi"/>
          <w:sz w:val="24"/>
          <w:szCs w:val="24"/>
        </w:rPr>
        <w:t xml:space="preserve"> an assessment and </w:t>
      </w:r>
      <w:r w:rsidR="006138CE" w:rsidRPr="00946E97">
        <w:rPr>
          <w:rFonts w:cstheme="minorHAnsi"/>
          <w:sz w:val="24"/>
          <w:szCs w:val="24"/>
        </w:rPr>
        <w:t>inspection.</w:t>
      </w:r>
      <w:r w:rsidRPr="00946E97">
        <w:rPr>
          <w:rFonts w:cstheme="minorHAnsi"/>
          <w:sz w:val="24"/>
          <w:szCs w:val="24"/>
        </w:rPr>
        <w:t xml:space="preserve"> </w:t>
      </w:r>
      <w:r w:rsidR="006138CE" w:rsidRPr="00946E97">
        <w:rPr>
          <w:rFonts w:cstheme="minorHAnsi"/>
          <w:sz w:val="24"/>
          <w:szCs w:val="24"/>
        </w:rPr>
        <w:t xml:space="preserve">The </w:t>
      </w:r>
      <w:r w:rsidR="007B6747" w:rsidRPr="00946E97">
        <w:rPr>
          <w:rFonts w:cstheme="minorHAnsi"/>
          <w:sz w:val="24"/>
          <w:szCs w:val="24"/>
        </w:rPr>
        <w:t>significantly wide d</w:t>
      </w:r>
      <w:r w:rsidR="006138CE" w:rsidRPr="00946E97">
        <w:rPr>
          <w:rFonts w:cstheme="minorHAnsi"/>
          <w:sz w:val="24"/>
          <w:szCs w:val="24"/>
        </w:rPr>
        <w:t>iscre</w:t>
      </w:r>
      <w:r w:rsidR="00E24C63">
        <w:rPr>
          <w:rFonts w:cstheme="minorHAnsi"/>
          <w:sz w:val="24"/>
          <w:szCs w:val="24"/>
        </w:rPr>
        <w:t>tion to the data c</w:t>
      </w:r>
      <w:r w:rsidR="007B6747" w:rsidRPr="00946E97">
        <w:rPr>
          <w:rFonts w:cstheme="minorHAnsi"/>
          <w:sz w:val="24"/>
          <w:szCs w:val="24"/>
        </w:rPr>
        <w:t xml:space="preserve">ontroller </w:t>
      </w:r>
      <w:r w:rsidR="006138CE" w:rsidRPr="00946E97">
        <w:rPr>
          <w:rFonts w:cstheme="minorHAnsi"/>
          <w:sz w:val="24"/>
          <w:szCs w:val="24"/>
        </w:rPr>
        <w:t xml:space="preserve">leaves this to a reasonable person test on whether in that person’s opinion risks existed or not. Section 22, allows the Authority to establish categories of data which requires specific processing based on </w:t>
      </w:r>
      <w:r w:rsidR="003F5976">
        <w:rPr>
          <w:rFonts w:cstheme="minorHAnsi"/>
          <w:sz w:val="24"/>
          <w:szCs w:val="24"/>
        </w:rPr>
        <w:t xml:space="preserve">risks to </w:t>
      </w:r>
      <w:r w:rsidR="006138CE" w:rsidRPr="00946E97">
        <w:rPr>
          <w:rFonts w:cstheme="minorHAnsi"/>
          <w:sz w:val="24"/>
          <w:szCs w:val="24"/>
        </w:rPr>
        <w:t xml:space="preserve">data </w:t>
      </w:r>
      <w:r w:rsidR="003360CF" w:rsidRPr="00946E97">
        <w:rPr>
          <w:rFonts w:cstheme="minorHAnsi"/>
          <w:sz w:val="24"/>
          <w:szCs w:val="24"/>
        </w:rPr>
        <w:t>subjects’</w:t>
      </w:r>
      <w:r w:rsidR="003F5976">
        <w:rPr>
          <w:rFonts w:cstheme="minorHAnsi"/>
          <w:sz w:val="24"/>
          <w:szCs w:val="24"/>
        </w:rPr>
        <w:t xml:space="preserve"> fundamental rights</w:t>
      </w:r>
      <w:r w:rsidR="006138CE" w:rsidRPr="00946E97">
        <w:rPr>
          <w:rFonts w:cstheme="minorHAnsi"/>
          <w:sz w:val="24"/>
          <w:szCs w:val="24"/>
        </w:rPr>
        <w:t xml:space="preserve">. </w:t>
      </w:r>
    </w:p>
    <w:p w14:paraId="75E988C9" w14:textId="77777777" w:rsidR="003360CF" w:rsidRDefault="00A9670A" w:rsidP="00D439AE">
      <w:pPr>
        <w:jc w:val="both"/>
        <w:rPr>
          <w:rFonts w:cstheme="minorHAnsi"/>
          <w:sz w:val="24"/>
          <w:szCs w:val="24"/>
        </w:rPr>
      </w:pPr>
      <w:r w:rsidRPr="00946E97">
        <w:rPr>
          <w:rFonts w:cstheme="minorHAnsi"/>
          <w:b/>
          <w:i/>
          <w:sz w:val="24"/>
          <w:szCs w:val="24"/>
        </w:rPr>
        <w:t>Recommendation</w:t>
      </w:r>
      <w:r w:rsidRPr="00946E97">
        <w:rPr>
          <w:rFonts w:cstheme="minorHAnsi"/>
          <w:sz w:val="24"/>
          <w:szCs w:val="24"/>
        </w:rPr>
        <w:t>:</w:t>
      </w:r>
      <w:r w:rsidR="005032B3" w:rsidRPr="00946E97">
        <w:rPr>
          <w:rFonts w:cstheme="minorHAnsi"/>
          <w:sz w:val="24"/>
          <w:szCs w:val="24"/>
        </w:rPr>
        <w:t xml:space="preserve"> </w:t>
      </w:r>
      <w:r w:rsidR="00F41DF4">
        <w:rPr>
          <w:rFonts w:cstheme="minorHAnsi"/>
          <w:sz w:val="24"/>
          <w:szCs w:val="24"/>
        </w:rPr>
        <w:t>A</w:t>
      </w:r>
      <w:r w:rsidR="005032B3" w:rsidRPr="00946E97">
        <w:rPr>
          <w:rFonts w:cstheme="minorHAnsi"/>
          <w:sz w:val="24"/>
          <w:szCs w:val="24"/>
        </w:rPr>
        <w:t>n inspection and assessment</w:t>
      </w:r>
      <w:r w:rsidR="00DF165A" w:rsidRPr="00946E97">
        <w:rPr>
          <w:rStyle w:val="FootnoteReference"/>
          <w:rFonts w:cstheme="minorHAnsi"/>
          <w:sz w:val="24"/>
          <w:szCs w:val="24"/>
        </w:rPr>
        <w:footnoteReference w:id="21"/>
      </w:r>
      <w:r w:rsidR="007D0558" w:rsidRPr="00946E97">
        <w:rPr>
          <w:rFonts w:cstheme="minorHAnsi"/>
          <w:sz w:val="24"/>
          <w:szCs w:val="24"/>
        </w:rPr>
        <w:t xml:space="preserve"> should ideally be conducted </w:t>
      </w:r>
      <w:r w:rsidR="005032B3" w:rsidRPr="00946E97">
        <w:rPr>
          <w:rFonts w:cstheme="minorHAnsi"/>
          <w:sz w:val="24"/>
          <w:szCs w:val="24"/>
        </w:rPr>
        <w:t>before processing. The Bill should make spec</w:t>
      </w:r>
      <w:r w:rsidR="007D0558" w:rsidRPr="00946E97">
        <w:rPr>
          <w:rFonts w:cstheme="minorHAnsi"/>
          <w:sz w:val="24"/>
          <w:szCs w:val="24"/>
        </w:rPr>
        <w:t xml:space="preserve">ific provisions for data impact </w:t>
      </w:r>
      <w:r w:rsidR="005032B3" w:rsidRPr="00946E97">
        <w:rPr>
          <w:rFonts w:cstheme="minorHAnsi"/>
          <w:sz w:val="24"/>
          <w:szCs w:val="24"/>
        </w:rPr>
        <w:t>assessments/inspections, including requirements of notificati</w:t>
      </w:r>
      <w:r w:rsidR="003229CA">
        <w:rPr>
          <w:rFonts w:cstheme="minorHAnsi"/>
          <w:sz w:val="24"/>
          <w:szCs w:val="24"/>
        </w:rPr>
        <w:t xml:space="preserve">on to data subject which must be </w:t>
      </w:r>
      <w:r w:rsidR="005032B3" w:rsidRPr="00946E97">
        <w:rPr>
          <w:rFonts w:cstheme="minorHAnsi"/>
          <w:sz w:val="24"/>
          <w:szCs w:val="24"/>
        </w:rPr>
        <w:t xml:space="preserve">concise, and in clear, simple language. The Bill must provide for guidelines for data processors on what would result in data protection assessments and inspection. </w:t>
      </w:r>
      <w:r w:rsidR="00AB185B" w:rsidRPr="00946E97">
        <w:rPr>
          <w:rFonts w:cstheme="minorHAnsi"/>
          <w:sz w:val="24"/>
          <w:szCs w:val="24"/>
        </w:rPr>
        <w:t>The criteria should include possible profiling,</w:t>
      </w:r>
      <w:r w:rsidR="00FC71F4" w:rsidRPr="00946E97">
        <w:rPr>
          <w:rFonts w:cstheme="minorHAnsi"/>
          <w:sz w:val="24"/>
          <w:szCs w:val="24"/>
        </w:rPr>
        <w:t xml:space="preserve"> large volumes of data, merging of different data gathered by different processes</w:t>
      </w:r>
      <w:r w:rsidR="00AB185B" w:rsidRPr="00946E97">
        <w:rPr>
          <w:rFonts w:cstheme="minorHAnsi"/>
          <w:sz w:val="24"/>
          <w:szCs w:val="24"/>
        </w:rPr>
        <w:t>, use of newe</w:t>
      </w:r>
      <w:r w:rsidR="00FC71F4" w:rsidRPr="00946E97">
        <w:rPr>
          <w:rFonts w:cstheme="minorHAnsi"/>
          <w:sz w:val="24"/>
          <w:szCs w:val="24"/>
        </w:rPr>
        <w:t xml:space="preserve">r technologies or possible </w:t>
      </w:r>
      <w:r w:rsidR="00AB185B" w:rsidRPr="00946E97">
        <w:rPr>
          <w:rFonts w:cstheme="minorHAnsi"/>
          <w:sz w:val="24"/>
          <w:szCs w:val="24"/>
        </w:rPr>
        <w:t>data transfer to countrie</w:t>
      </w:r>
      <w:r w:rsidR="00FC71F4" w:rsidRPr="00946E97">
        <w:rPr>
          <w:rFonts w:cstheme="minorHAnsi"/>
          <w:sz w:val="24"/>
          <w:szCs w:val="24"/>
        </w:rPr>
        <w:t xml:space="preserve">s. </w:t>
      </w:r>
    </w:p>
    <w:p w14:paraId="1B317338" w14:textId="77777777" w:rsidR="00AB185B" w:rsidRDefault="00EF365F" w:rsidP="00D439AE">
      <w:pPr>
        <w:jc w:val="both"/>
        <w:rPr>
          <w:rFonts w:cstheme="minorHAnsi"/>
          <w:sz w:val="24"/>
          <w:szCs w:val="24"/>
        </w:rPr>
      </w:pPr>
      <w:r w:rsidRPr="00946E97">
        <w:rPr>
          <w:rFonts w:cstheme="minorHAnsi"/>
          <w:sz w:val="24"/>
          <w:szCs w:val="24"/>
        </w:rPr>
        <w:t>Data retention periods are not clearly stipulated in the Bill.</w:t>
      </w:r>
      <w:r w:rsidR="00DF165A" w:rsidRPr="00946E97">
        <w:rPr>
          <w:rStyle w:val="FootnoteReference"/>
          <w:rFonts w:cstheme="minorHAnsi"/>
          <w:sz w:val="24"/>
          <w:szCs w:val="24"/>
        </w:rPr>
        <w:footnoteReference w:id="22"/>
      </w:r>
      <w:r w:rsidRPr="00946E97">
        <w:rPr>
          <w:rFonts w:cstheme="minorHAnsi"/>
          <w:sz w:val="24"/>
          <w:szCs w:val="24"/>
        </w:rPr>
        <w:t xml:space="preserve"> There are other laws which allow retention of data for instance in the telecommunications field in respect of traffic data, or subscriber information. This data is regulated under a different regulation and instrument. The application of the Bill in such matters must be clarified.</w:t>
      </w:r>
      <w:r w:rsidR="008C286C" w:rsidRPr="00946E97">
        <w:rPr>
          <w:rStyle w:val="FootnoteReference"/>
          <w:rFonts w:cstheme="minorHAnsi"/>
          <w:sz w:val="24"/>
          <w:szCs w:val="24"/>
        </w:rPr>
        <w:footnoteReference w:id="23"/>
      </w:r>
      <w:r w:rsidRPr="00946E97">
        <w:rPr>
          <w:rFonts w:cstheme="minorHAnsi"/>
          <w:sz w:val="24"/>
          <w:szCs w:val="24"/>
        </w:rPr>
        <w:t xml:space="preserve"> </w:t>
      </w:r>
    </w:p>
    <w:p w14:paraId="531DE9E8" w14:textId="77777777" w:rsidR="00F41DF4" w:rsidRPr="00946E97" w:rsidRDefault="00F41DF4" w:rsidP="00D439AE">
      <w:pPr>
        <w:jc w:val="both"/>
        <w:rPr>
          <w:rFonts w:cstheme="minorHAnsi"/>
          <w:sz w:val="24"/>
          <w:szCs w:val="24"/>
        </w:rPr>
      </w:pPr>
    </w:p>
    <w:p w14:paraId="3DA35CD2" w14:textId="77777777" w:rsidR="00A9670A" w:rsidRPr="005A1CAD" w:rsidRDefault="006138CE" w:rsidP="005A1CAD">
      <w:pPr>
        <w:pStyle w:val="ListParagraph"/>
        <w:numPr>
          <w:ilvl w:val="0"/>
          <w:numId w:val="14"/>
        </w:numPr>
        <w:jc w:val="both"/>
        <w:rPr>
          <w:rFonts w:cstheme="minorHAnsi"/>
          <w:b/>
          <w:i/>
          <w:sz w:val="24"/>
          <w:szCs w:val="24"/>
        </w:rPr>
      </w:pPr>
      <w:r w:rsidRPr="005A1CAD">
        <w:rPr>
          <w:rFonts w:cstheme="minorHAnsi"/>
          <w:b/>
          <w:i/>
          <w:sz w:val="24"/>
          <w:szCs w:val="24"/>
        </w:rPr>
        <w:t>Openness of processing</w:t>
      </w:r>
      <w:r w:rsidR="002C3280" w:rsidRPr="005A1CAD">
        <w:rPr>
          <w:rFonts w:cstheme="minorHAnsi"/>
          <w:b/>
          <w:i/>
          <w:sz w:val="24"/>
          <w:szCs w:val="24"/>
        </w:rPr>
        <w:t xml:space="preserve"> and accountability</w:t>
      </w:r>
    </w:p>
    <w:p w14:paraId="3F2CC193" w14:textId="77777777" w:rsidR="006138CE" w:rsidRPr="00946E97" w:rsidRDefault="006138CE" w:rsidP="00D439AE">
      <w:pPr>
        <w:jc w:val="both"/>
        <w:rPr>
          <w:rFonts w:cstheme="minorHAnsi"/>
          <w:sz w:val="24"/>
          <w:szCs w:val="24"/>
        </w:rPr>
      </w:pPr>
      <w:r w:rsidRPr="00946E97">
        <w:rPr>
          <w:rFonts w:cstheme="minorHAnsi"/>
          <w:b/>
          <w:i/>
          <w:sz w:val="24"/>
          <w:szCs w:val="24"/>
        </w:rPr>
        <w:t>Issue</w:t>
      </w:r>
      <w:r w:rsidRPr="00946E97">
        <w:rPr>
          <w:rFonts w:cstheme="minorHAnsi"/>
          <w:sz w:val="24"/>
          <w:szCs w:val="24"/>
        </w:rPr>
        <w:t>:  openness of processing</w:t>
      </w:r>
      <w:r w:rsidR="002C3280" w:rsidRPr="00946E97">
        <w:rPr>
          <w:rFonts w:cstheme="minorHAnsi"/>
          <w:sz w:val="24"/>
          <w:szCs w:val="24"/>
        </w:rPr>
        <w:t xml:space="preserve"> by Authority and, accountability of data controller </w:t>
      </w:r>
    </w:p>
    <w:p w14:paraId="330B03B6" w14:textId="77777777" w:rsidR="006138CE" w:rsidRPr="00946E97" w:rsidRDefault="006138CE" w:rsidP="00D439AE">
      <w:pPr>
        <w:jc w:val="both"/>
        <w:rPr>
          <w:rFonts w:cstheme="minorHAnsi"/>
          <w:b/>
          <w:i/>
          <w:sz w:val="24"/>
          <w:szCs w:val="24"/>
        </w:rPr>
      </w:pPr>
      <w:r w:rsidRPr="00946E97">
        <w:rPr>
          <w:rFonts w:cstheme="minorHAnsi"/>
          <w:b/>
          <w:i/>
          <w:sz w:val="24"/>
          <w:szCs w:val="24"/>
        </w:rPr>
        <w:t>Discussion</w:t>
      </w:r>
      <w:r w:rsidRPr="00946E97">
        <w:rPr>
          <w:rFonts w:cstheme="minorHAnsi"/>
          <w:sz w:val="24"/>
          <w:szCs w:val="24"/>
        </w:rPr>
        <w:t xml:space="preserve">: </w:t>
      </w:r>
      <w:r w:rsidR="00F41DF4">
        <w:rPr>
          <w:rFonts w:cstheme="minorHAnsi"/>
          <w:sz w:val="24"/>
          <w:szCs w:val="24"/>
        </w:rPr>
        <w:t>S</w:t>
      </w:r>
      <w:r w:rsidR="004A596B" w:rsidRPr="00946E97">
        <w:rPr>
          <w:rFonts w:cstheme="minorHAnsi"/>
          <w:sz w:val="24"/>
          <w:szCs w:val="24"/>
        </w:rPr>
        <w:t>ection 23 provides for openness of processing of data. T</w:t>
      </w:r>
      <w:r w:rsidRPr="00946E97">
        <w:rPr>
          <w:rFonts w:cstheme="minorHAnsi"/>
          <w:sz w:val="24"/>
          <w:szCs w:val="24"/>
        </w:rPr>
        <w:t>his provision is commendable as it advances o</w:t>
      </w:r>
      <w:r w:rsidR="003360CF">
        <w:rPr>
          <w:rFonts w:cstheme="minorHAnsi"/>
          <w:sz w:val="24"/>
          <w:szCs w:val="24"/>
        </w:rPr>
        <w:t>penness and transparency of the</w:t>
      </w:r>
      <w:r w:rsidRPr="00946E97">
        <w:rPr>
          <w:rFonts w:cstheme="minorHAnsi"/>
          <w:sz w:val="24"/>
          <w:szCs w:val="24"/>
        </w:rPr>
        <w:t xml:space="preserve"> Authority’s </w:t>
      </w:r>
      <w:r w:rsidR="00B630CF">
        <w:rPr>
          <w:rFonts w:cstheme="minorHAnsi"/>
          <w:sz w:val="24"/>
          <w:szCs w:val="24"/>
        </w:rPr>
        <w:t xml:space="preserve">data processing </w:t>
      </w:r>
      <w:r w:rsidRPr="00946E97">
        <w:rPr>
          <w:rFonts w:cstheme="minorHAnsi"/>
          <w:sz w:val="24"/>
          <w:szCs w:val="24"/>
        </w:rPr>
        <w:t>activit</w:t>
      </w:r>
      <w:r w:rsidR="002C3280" w:rsidRPr="00946E97">
        <w:rPr>
          <w:rFonts w:cstheme="minorHAnsi"/>
          <w:sz w:val="24"/>
          <w:szCs w:val="24"/>
        </w:rPr>
        <w:t>ies. Section 24 provides for accountability of data controller in complying with the principles in the Bill.</w:t>
      </w:r>
    </w:p>
    <w:p w14:paraId="489A38C1" w14:textId="77777777" w:rsidR="008D5C77" w:rsidRDefault="008D5C77" w:rsidP="00D439AE">
      <w:pPr>
        <w:jc w:val="both"/>
        <w:rPr>
          <w:rFonts w:cstheme="minorHAnsi"/>
          <w:sz w:val="24"/>
          <w:szCs w:val="24"/>
        </w:rPr>
      </w:pPr>
      <w:r w:rsidRPr="00946E97">
        <w:rPr>
          <w:rFonts w:cstheme="minorHAnsi"/>
          <w:b/>
          <w:i/>
          <w:sz w:val="24"/>
          <w:szCs w:val="24"/>
        </w:rPr>
        <w:lastRenderedPageBreak/>
        <w:t>Recommendation</w:t>
      </w:r>
      <w:r w:rsidRPr="00946E97">
        <w:rPr>
          <w:rFonts w:cstheme="minorHAnsi"/>
          <w:sz w:val="24"/>
          <w:szCs w:val="24"/>
        </w:rPr>
        <w:t xml:space="preserve">: the </w:t>
      </w:r>
      <w:r w:rsidR="00E64218">
        <w:rPr>
          <w:rFonts w:cstheme="minorHAnsi"/>
          <w:sz w:val="24"/>
          <w:szCs w:val="24"/>
        </w:rPr>
        <w:t>maintenance of register ideally should</w:t>
      </w:r>
      <w:r w:rsidR="004A596B" w:rsidRPr="00946E97">
        <w:rPr>
          <w:rFonts w:cstheme="minorHAnsi"/>
          <w:sz w:val="24"/>
          <w:szCs w:val="24"/>
        </w:rPr>
        <w:t xml:space="preserve"> be included </w:t>
      </w:r>
      <w:r w:rsidR="002650FB">
        <w:rPr>
          <w:rFonts w:cstheme="minorHAnsi"/>
          <w:sz w:val="24"/>
          <w:szCs w:val="24"/>
        </w:rPr>
        <w:t xml:space="preserve">in the </w:t>
      </w:r>
      <w:r w:rsidR="004A596B" w:rsidRPr="00946E97">
        <w:rPr>
          <w:rFonts w:cstheme="minorHAnsi"/>
          <w:sz w:val="24"/>
          <w:szCs w:val="24"/>
        </w:rPr>
        <w:t>data protection principles and the</w:t>
      </w:r>
      <w:r w:rsidR="002650FB">
        <w:rPr>
          <w:rFonts w:cstheme="minorHAnsi"/>
          <w:sz w:val="24"/>
          <w:szCs w:val="24"/>
        </w:rPr>
        <w:t xml:space="preserve"> functions of the Authority. The register </w:t>
      </w:r>
      <w:r w:rsidR="004A596B" w:rsidRPr="00946E97">
        <w:rPr>
          <w:rFonts w:cstheme="minorHAnsi"/>
          <w:sz w:val="24"/>
          <w:szCs w:val="24"/>
        </w:rPr>
        <w:t xml:space="preserve">should not be </w:t>
      </w:r>
      <w:r w:rsidR="004904BE" w:rsidRPr="00946E97">
        <w:rPr>
          <w:rFonts w:cstheme="minorHAnsi"/>
          <w:sz w:val="24"/>
          <w:szCs w:val="24"/>
        </w:rPr>
        <w:t xml:space="preserve">left to the last sections of the Bill. The level of openness must be manifest throughout the Bill. </w:t>
      </w:r>
      <w:r w:rsidR="00924DDE" w:rsidRPr="00946E97">
        <w:rPr>
          <w:rFonts w:cstheme="minorHAnsi"/>
          <w:sz w:val="24"/>
          <w:szCs w:val="24"/>
        </w:rPr>
        <w:t xml:space="preserve">All registered data controllers should be kept in a register open for </w:t>
      </w:r>
      <w:r w:rsidR="002650FB">
        <w:rPr>
          <w:rFonts w:cstheme="minorHAnsi"/>
          <w:sz w:val="24"/>
          <w:szCs w:val="24"/>
        </w:rPr>
        <w:t xml:space="preserve">public </w:t>
      </w:r>
      <w:r w:rsidR="00924DDE" w:rsidRPr="00946E97">
        <w:rPr>
          <w:rFonts w:cstheme="minorHAnsi"/>
          <w:sz w:val="24"/>
          <w:szCs w:val="24"/>
        </w:rPr>
        <w:t>inspection.</w:t>
      </w:r>
      <w:r w:rsidR="002C3280" w:rsidRPr="00946E97">
        <w:rPr>
          <w:rFonts w:cstheme="minorHAnsi"/>
          <w:sz w:val="24"/>
          <w:szCs w:val="24"/>
        </w:rPr>
        <w:t xml:space="preserve"> Accountability </w:t>
      </w:r>
      <w:r w:rsidR="00D5022F" w:rsidRPr="00946E97">
        <w:rPr>
          <w:rFonts w:cstheme="minorHAnsi"/>
          <w:sz w:val="24"/>
          <w:szCs w:val="24"/>
        </w:rPr>
        <w:t>must be</w:t>
      </w:r>
      <w:r w:rsidR="00926947" w:rsidRPr="00946E97">
        <w:rPr>
          <w:rFonts w:cstheme="minorHAnsi"/>
          <w:sz w:val="24"/>
          <w:szCs w:val="24"/>
        </w:rPr>
        <w:t xml:space="preserve"> listed</w:t>
      </w:r>
      <w:r w:rsidR="002C3280" w:rsidRPr="00946E97">
        <w:rPr>
          <w:rFonts w:cstheme="minorHAnsi"/>
          <w:sz w:val="24"/>
          <w:szCs w:val="24"/>
        </w:rPr>
        <w:t xml:space="preserve"> as one of the duties that data controllers are required to comply with. An accountability principle should be included in the Bill, for the Authority and data controllers.</w:t>
      </w:r>
    </w:p>
    <w:p w14:paraId="5F802392" w14:textId="77777777" w:rsidR="00F41DF4" w:rsidRPr="00946E97" w:rsidRDefault="00F41DF4" w:rsidP="00D439AE">
      <w:pPr>
        <w:jc w:val="both"/>
        <w:rPr>
          <w:rFonts w:cstheme="minorHAnsi"/>
          <w:sz w:val="24"/>
          <w:szCs w:val="24"/>
        </w:rPr>
      </w:pPr>
    </w:p>
    <w:p w14:paraId="51E1819D" w14:textId="77777777" w:rsidR="00627BCD" w:rsidRPr="00946E97" w:rsidRDefault="004263E5" w:rsidP="00D439AE">
      <w:pPr>
        <w:pStyle w:val="Heading2"/>
        <w:jc w:val="both"/>
        <w:rPr>
          <w:rFonts w:cstheme="minorHAnsi"/>
          <w:szCs w:val="24"/>
        </w:rPr>
      </w:pPr>
      <w:bookmarkStart w:id="11" w:name="_Toc43374612"/>
      <w:r w:rsidRPr="00946E97">
        <w:rPr>
          <w:rFonts w:cstheme="minorHAnsi"/>
          <w:szCs w:val="24"/>
        </w:rPr>
        <w:t>Part VII</w:t>
      </w:r>
      <w:bookmarkEnd w:id="11"/>
    </w:p>
    <w:p w14:paraId="53363B40" w14:textId="77777777" w:rsidR="004263E5" w:rsidRPr="00946E97" w:rsidRDefault="004263E5" w:rsidP="00D439AE">
      <w:pPr>
        <w:jc w:val="both"/>
        <w:rPr>
          <w:rFonts w:cstheme="minorHAnsi"/>
          <w:sz w:val="24"/>
          <w:szCs w:val="24"/>
        </w:rPr>
      </w:pPr>
      <w:r w:rsidRPr="00946E97">
        <w:rPr>
          <w:rFonts w:cstheme="minorHAnsi"/>
          <w:sz w:val="24"/>
          <w:szCs w:val="24"/>
        </w:rPr>
        <w:t>Section 25 covers data subject rights on automated data processing, s 26 on representation of data subject who is a child, and s 27 on legally incapacitated data subjects.</w:t>
      </w:r>
    </w:p>
    <w:p w14:paraId="628BF092" w14:textId="77777777" w:rsidR="004263E5" w:rsidRPr="005A1CAD" w:rsidRDefault="004263E5" w:rsidP="005A1CAD">
      <w:pPr>
        <w:pStyle w:val="ListParagraph"/>
        <w:numPr>
          <w:ilvl w:val="0"/>
          <w:numId w:val="15"/>
        </w:numPr>
        <w:jc w:val="both"/>
        <w:rPr>
          <w:rFonts w:cstheme="minorHAnsi"/>
          <w:b/>
          <w:i/>
          <w:sz w:val="24"/>
          <w:szCs w:val="24"/>
        </w:rPr>
      </w:pPr>
      <w:r w:rsidRPr="005A1CAD">
        <w:rPr>
          <w:rFonts w:cstheme="minorHAnsi"/>
          <w:b/>
          <w:i/>
          <w:sz w:val="24"/>
          <w:szCs w:val="24"/>
        </w:rPr>
        <w:t>Data subjects</w:t>
      </w:r>
    </w:p>
    <w:p w14:paraId="2D990794" w14:textId="77777777" w:rsidR="00627BCD" w:rsidRPr="00946E97" w:rsidRDefault="00627BCD" w:rsidP="00D439AE">
      <w:pPr>
        <w:jc w:val="both"/>
        <w:rPr>
          <w:rFonts w:cstheme="minorHAnsi"/>
          <w:sz w:val="24"/>
          <w:szCs w:val="24"/>
        </w:rPr>
      </w:pPr>
      <w:r w:rsidRPr="00946E97">
        <w:rPr>
          <w:rFonts w:cstheme="minorHAnsi"/>
          <w:b/>
          <w:i/>
          <w:sz w:val="24"/>
          <w:szCs w:val="24"/>
        </w:rPr>
        <w:t>Issue</w:t>
      </w:r>
      <w:r w:rsidRPr="00946E97">
        <w:rPr>
          <w:rFonts w:cstheme="minorHAnsi"/>
          <w:sz w:val="24"/>
          <w:szCs w:val="24"/>
        </w:rPr>
        <w:t xml:space="preserve">: rights of data subjects are contained </w:t>
      </w:r>
      <w:r w:rsidR="00405561">
        <w:rPr>
          <w:rFonts w:cstheme="minorHAnsi"/>
          <w:sz w:val="24"/>
          <w:szCs w:val="24"/>
        </w:rPr>
        <w:t>in various sections of the Bill</w:t>
      </w:r>
    </w:p>
    <w:p w14:paraId="62C479E0" w14:textId="77777777" w:rsidR="00B361E5" w:rsidRPr="00946E97" w:rsidRDefault="00627BCD" w:rsidP="00D439AE">
      <w:pPr>
        <w:jc w:val="both"/>
        <w:rPr>
          <w:rFonts w:cstheme="minorHAnsi"/>
          <w:sz w:val="24"/>
          <w:szCs w:val="24"/>
        </w:rPr>
      </w:pPr>
      <w:r w:rsidRPr="00946E97">
        <w:rPr>
          <w:rFonts w:cstheme="minorHAnsi"/>
          <w:b/>
          <w:i/>
          <w:sz w:val="24"/>
          <w:szCs w:val="24"/>
        </w:rPr>
        <w:t>Discussion</w:t>
      </w:r>
      <w:r w:rsidR="00B119C4">
        <w:rPr>
          <w:rFonts w:cstheme="minorHAnsi"/>
          <w:sz w:val="24"/>
          <w:szCs w:val="24"/>
        </w:rPr>
        <w:t>: The Bill provides for various</w:t>
      </w:r>
      <w:r w:rsidRPr="00946E97">
        <w:rPr>
          <w:rFonts w:cstheme="minorHAnsi"/>
          <w:sz w:val="24"/>
          <w:szCs w:val="24"/>
        </w:rPr>
        <w:t xml:space="preserve"> rights for data subjects in different parts of the Bill. This is commendable but not sufficient.</w:t>
      </w:r>
      <w:r w:rsidR="009608A3" w:rsidRPr="00946E97">
        <w:rPr>
          <w:rFonts w:cstheme="minorHAnsi"/>
          <w:sz w:val="24"/>
          <w:szCs w:val="24"/>
        </w:rPr>
        <w:t xml:space="preserve"> Sections with data subject rights include ss9(1)(b), </w:t>
      </w:r>
      <w:r w:rsidR="008A08A3" w:rsidRPr="00946E97">
        <w:rPr>
          <w:rFonts w:cstheme="minorHAnsi"/>
          <w:sz w:val="24"/>
          <w:szCs w:val="24"/>
        </w:rPr>
        <w:t>15(1)(c)</w:t>
      </w:r>
      <w:r w:rsidR="009608A3" w:rsidRPr="00946E97">
        <w:rPr>
          <w:rFonts w:cstheme="minorHAnsi"/>
          <w:sz w:val="24"/>
          <w:szCs w:val="24"/>
        </w:rPr>
        <w:t xml:space="preserve">, </w:t>
      </w:r>
      <w:r w:rsidR="008A08A3" w:rsidRPr="00946E97">
        <w:rPr>
          <w:rFonts w:cstheme="minorHAnsi"/>
          <w:sz w:val="24"/>
          <w:szCs w:val="24"/>
        </w:rPr>
        <w:t>15 (e)</w:t>
      </w:r>
      <w:r w:rsidR="009608A3" w:rsidRPr="00946E97">
        <w:rPr>
          <w:rFonts w:cstheme="minorHAnsi"/>
          <w:sz w:val="24"/>
          <w:szCs w:val="24"/>
        </w:rPr>
        <w:t xml:space="preserve">(iii), and </w:t>
      </w:r>
      <w:r w:rsidR="008A08A3" w:rsidRPr="00946E97">
        <w:rPr>
          <w:rFonts w:cstheme="minorHAnsi"/>
          <w:sz w:val="24"/>
          <w:szCs w:val="24"/>
        </w:rPr>
        <w:t>16(1)(d) providing for right to object, right to access and rectify.</w:t>
      </w:r>
      <w:r w:rsidRPr="00946E97">
        <w:rPr>
          <w:rFonts w:cstheme="minorHAnsi"/>
          <w:sz w:val="24"/>
          <w:szCs w:val="24"/>
        </w:rPr>
        <w:t xml:space="preserve"> </w:t>
      </w:r>
    </w:p>
    <w:p w14:paraId="268480A9" w14:textId="77777777" w:rsidR="001F1B45" w:rsidRPr="00946E97" w:rsidRDefault="00B361E5" w:rsidP="00D439AE">
      <w:pPr>
        <w:jc w:val="both"/>
        <w:rPr>
          <w:rFonts w:cstheme="minorHAnsi"/>
          <w:sz w:val="24"/>
          <w:szCs w:val="24"/>
        </w:rPr>
      </w:pPr>
      <w:r w:rsidRPr="00946E97">
        <w:rPr>
          <w:rFonts w:cstheme="minorHAnsi"/>
          <w:sz w:val="24"/>
          <w:szCs w:val="24"/>
        </w:rPr>
        <w:t>The Bill will benefit from listing all the data subject right</w:t>
      </w:r>
      <w:r w:rsidR="00C65BFD">
        <w:rPr>
          <w:rFonts w:cstheme="minorHAnsi"/>
          <w:sz w:val="24"/>
          <w:szCs w:val="24"/>
        </w:rPr>
        <w:t xml:space="preserve">s separately and then reinforcing </w:t>
      </w:r>
      <w:r w:rsidRPr="00946E97">
        <w:rPr>
          <w:rFonts w:cstheme="minorHAnsi"/>
          <w:sz w:val="24"/>
          <w:szCs w:val="24"/>
        </w:rPr>
        <w:t xml:space="preserve">them with specific </w:t>
      </w:r>
      <w:r w:rsidR="00C65BFD">
        <w:rPr>
          <w:rFonts w:cstheme="minorHAnsi"/>
          <w:sz w:val="24"/>
          <w:szCs w:val="24"/>
        </w:rPr>
        <w:t>sections on their application</w:t>
      </w:r>
      <w:r w:rsidRPr="00946E97">
        <w:rPr>
          <w:rFonts w:cstheme="minorHAnsi"/>
          <w:sz w:val="24"/>
          <w:szCs w:val="24"/>
        </w:rPr>
        <w:t xml:space="preserve">. </w:t>
      </w:r>
      <w:r w:rsidR="001F1B45" w:rsidRPr="00946E97">
        <w:rPr>
          <w:rFonts w:cstheme="minorHAnsi"/>
          <w:sz w:val="24"/>
          <w:szCs w:val="24"/>
        </w:rPr>
        <w:t>These rights, based on international pra</w:t>
      </w:r>
      <w:r w:rsidR="00702423" w:rsidRPr="00946E97">
        <w:rPr>
          <w:rFonts w:cstheme="minorHAnsi"/>
          <w:sz w:val="24"/>
          <w:szCs w:val="24"/>
        </w:rPr>
        <w:t>ctices</w:t>
      </w:r>
      <w:r w:rsidR="00DF264E" w:rsidRPr="00946E97">
        <w:rPr>
          <w:rStyle w:val="FootnoteReference"/>
          <w:rFonts w:cstheme="minorHAnsi"/>
          <w:sz w:val="24"/>
          <w:szCs w:val="24"/>
        </w:rPr>
        <w:footnoteReference w:id="24"/>
      </w:r>
      <w:r w:rsidR="00702423" w:rsidRPr="00946E97">
        <w:rPr>
          <w:rFonts w:cstheme="minorHAnsi"/>
          <w:sz w:val="24"/>
          <w:szCs w:val="24"/>
        </w:rPr>
        <w:t xml:space="preserve"> and standards </w:t>
      </w:r>
      <w:r w:rsidR="009608A3" w:rsidRPr="00946E97">
        <w:rPr>
          <w:rFonts w:cstheme="minorHAnsi"/>
          <w:sz w:val="24"/>
          <w:szCs w:val="24"/>
        </w:rPr>
        <w:t>include the following:</w:t>
      </w:r>
      <w:r w:rsidR="00702423" w:rsidRPr="00946E97">
        <w:rPr>
          <w:rFonts w:cstheme="minorHAnsi"/>
          <w:sz w:val="24"/>
          <w:szCs w:val="24"/>
        </w:rPr>
        <w:t xml:space="preserve"> </w:t>
      </w:r>
    </w:p>
    <w:p w14:paraId="444897A7" w14:textId="77777777" w:rsidR="00FA4DCC" w:rsidRPr="00946E97" w:rsidRDefault="005A0E6D" w:rsidP="00D439AE">
      <w:pPr>
        <w:pStyle w:val="ListParagraph"/>
        <w:numPr>
          <w:ilvl w:val="0"/>
          <w:numId w:val="4"/>
        </w:numPr>
        <w:jc w:val="both"/>
        <w:rPr>
          <w:rFonts w:cstheme="minorHAnsi"/>
          <w:sz w:val="24"/>
          <w:szCs w:val="24"/>
        </w:rPr>
      </w:pPr>
      <w:r w:rsidRPr="00946E97">
        <w:rPr>
          <w:rFonts w:cstheme="minorHAnsi"/>
          <w:bCs/>
          <w:sz w:val="24"/>
          <w:szCs w:val="24"/>
        </w:rPr>
        <w:t>The data subject’s right of access</w:t>
      </w:r>
      <w:r w:rsidRPr="00946E97">
        <w:rPr>
          <w:rFonts w:cstheme="minorHAnsi"/>
          <w:sz w:val="24"/>
          <w:szCs w:val="24"/>
        </w:rPr>
        <w:t> </w:t>
      </w:r>
      <w:r w:rsidR="000D53FD" w:rsidRPr="00946E97">
        <w:rPr>
          <w:rFonts w:cstheme="minorHAnsi"/>
          <w:sz w:val="24"/>
          <w:szCs w:val="24"/>
        </w:rPr>
        <w:t xml:space="preserve"> </w:t>
      </w:r>
    </w:p>
    <w:p w14:paraId="2FEECDB7" w14:textId="77777777" w:rsidR="00F417A6" w:rsidRPr="00946E97" w:rsidRDefault="005A0E6D" w:rsidP="00D439AE">
      <w:pPr>
        <w:pStyle w:val="ListParagraph"/>
        <w:numPr>
          <w:ilvl w:val="0"/>
          <w:numId w:val="4"/>
        </w:numPr>
        <w:jc w:val="both"/>
        <w:rPr>
          <w:rFonts w:cstheme="minorHAnsi"/>
          <w:sz w:val="24"/>
          <w:szCs w:val="24"/>
        </w:rPr>
      </w:pPr>
      <w:r w:rsidRPr="00946E97">
        <w:rPr>
          <w:rFonts w:cstheme="minorHAnsi"/>
          <w:bCs/>
          <w:sz w:val="24"/>
          <w:szCs w:val="24"/>
        </w:rPr>
        <w:t>The data subject’s right to rectification</w:t>
      </w:r>
      <w:r w:rsidRPr="00946E97">
        <w:rPr>
          <w:rFonts w:cstheme="minorHAnsi"/>
          <w:sz w:val="24"/>
          <w:szCs w:val="24"/>
        </w:rPr>
        <w:t xml:space="preserve">. </w:t>
      </w:r>
    </w:p>
    <w:p w14:paraId="7756BC78" w14:textId="77777777" w:rsidR="0041511B" w:rsidRPr="00946E97" w:rsidRDefault="0041511B" w:rsidP="00D439AE">
      <w:pPr>
        <w:pStyle w:val="ListParagraph"/>
        <w:numPr>
          <w:ilvl w:val="0"/>
          <w:numId w:val="4"/>
        </w:numPr>
        <w:jc w:val="both"/>
        <w:rPr>
          <w:rFonts w:cstheme="minorHAnsi"/>
          <w:sz w:val="24"/>
          <w:szCs w:val="24"/>
        </w:rPr>
      </w:pPr>
      <w:r w:rsidRPr="00946E97">
        <w:rPr>
          <w:rFonts w:cstheme="minorHAnsi"/>
          <w:bCs/>
          <w:sz w:val="24"/>
          <w:szCs w:val="24"/>
        </w:rPr>
        <w:t>The right to erasure or right to be forgotten</w:t>
      </w:r>
      <w:r w:rsidRPr="00946E97">
        <w:rPr>
          <w:rFonts w:cstheme="minorHAnsi"/>
          <w:sz w:val="24"/>
          <w:szCs w:val="24"/>
        </w:rPr>
        <w:t xml:space="preserve"> </w:t>
      </w:r>
    </w:p>
    <w:p w14:paraId="55894360" w14:textId="77777777" w:rsidR="005A0E6D" w:rsidRPr="00946E97" w:rsidRDefault="00F2509E" w:rsidP="00D439AE">
      <w:pPr>
        <w:pStyle w:val="ListParagraph"/>
        <w:numPr>
          <w:ilvl w:val="0"/>
          <w:numId w:val="4"/>
        </w:numPr>
        <w:jc w:val="both"/>
        <w:rPr>
          <w:rFonts w:cstheme="minorHAnsi"/>
          <w:sz w:val="24"/>
          <w:szCs w:val="24"/>
        </w:rPr>
      </w:pPr>
      <w:r w:rsidRPr="00946E97">
        <w:rPr>
          <w:rFonts w:cstheme="minorHAnsi"/>
          <w:bCs/>
          <w:sz w:val="24"/>
          <w:szCs w:val="24"/>
        </w:rPr>
        <w:t>The right to data portability</w:t>
      </w:r>
      <w:r w:rsidRPr="00946E97">
        <w:rPr>
          <w:rFonts w:cstheme="minorHAnsi"/>
          <w:sz w:val="24"/>
          <w:szCs w:val="24"/>
        </w:rPr>
        <w:t>.</w:t>
      </w:r>
      <w:r w:rsidR="007F21E6" w:rsidRPr="00946E97">
        <w:rPr>
          <w:rStyle w:val="FootnoteReference"/>
          <w:rFonts w:cstheme="minorHAnsi"/>
          <w:sz w:val="24"/>
          <w:szCs w:val="24"/>
        </w:rPr>
        <w:footnoteReference w:id="25"/>
      </w:r>
      <w:r w:rsidR="00702423" w:rsidRPr="00946E97">
        <w:rPr>
          <w:rFonts w:cstheme="minorHAnsi"/>
          <w:sz w:val="24"/>
          <w:szCs w:val="24"/>
        </w:rPr>
        <w:t xml:space="preserve"> </w:t>
      </w:r>
    </w:p>
    <w:p w14:paraId="0DEA966A" w14:textId="77777777" w:rsidR="00F417A6" w:rsidRPr="00946E97" w:rsidRDefault="00702423" w:rsidP="00D439AE">
      <w:pPr>
        <w:pStyle w:val="ListParagraph"/>
        <w:numPr>
          <w:ilvl w:val="0"/>
          <w:numId w:val="4"/>
        </w:numPr>
        <w:jc w:val="both"/>
        <w:rPr>
          <w:rFonts w:cstheme="minorHAnsi"/>
          <w:sz w:val="24"/>
          <w:szCs w:val="24"/>
        </w:rPr>
      </w:pPr>
      <w:r w:rsidRPr="00946E97">
        <w:rPr>
          <w:rFonts w:cstheme="minorHAnsi"/>
          <w:sz w:val="24"/>
          <w:szCs w:val="24"/>
        </w:rPr>
        <w:t xml:space="preserve">The data subject right not to be subject to a decision based </w:t>
      </w:r>
      <w:r w:rsidR="00F417A6" w:rsidRPr="00946E97">
        <w:rPr>
          <w:rFonts w:cstheme="minorHAnsi"/>
          <w:sz w:val="24"/>
          <w:szCs w:val="24"/>
        </w:rPr>
        <w:t>solely on automated processing,</w:t>
      </w:r>
    </w:p>
    <w:p w14:paraId="7B99207E" w14:textId="77777777" w:rsidR="00B361E5" w:rsidRDefault="00C425CB" w:rsidP="00D439AE">
      <w:pPr>
        <w:jc w:val="both"/>
        <w:rPr>
          <w:rFonts w:cstheme="minorHAnsi"/>
          <w:sz w:val="24"/>
          <w:szCs w:val="24"/>
        </w:rPr>
      </w:pPr>
      <w:r w:rsidRPr="00946E97">
        <w:rPr>
          <w:rFonts w:cstheme="minorHAnsi"/>
          <w:sz w:val="24"/>
          <w:szCs w:val="24"/>
        </w:rPr>
        <w:t>The data subject rights include the right to be notified when there is a breach, or the personal information and data is compromised, or accessed by unauthorized means. The Bill does not provide for this right as discussed above. The data subject has a right to know at no cost and even to access the record or copy of the information held. Data subjects have the right to object to the processing of data and not to be subjected to direct marketing. These are not absolute rights, and the Bill should c</w:t>
      </w:r>
      <w:r w:rsidR="007774DA" w:rsidRPr="00946E97">
        <w:rPr>
          <w:rFonts w:cstheme="minorHAnsi"/>
          <w:sz w:val="24"/>
          <w:szCs w:val="24"/>
        </w:rPr>
        <w:t xml:space="preserve">learly outline the limitations as justifiable, necessary, and proportionate. </w:t>
      </w:r>
    </w:p>
    <w:p w14:paraId="3C80869F" w14:textId="77777777" w:rsidR="00F41DF4" w:rsidRPr="00946E97" w:rsidRDefault="00F41DF4" w:rsidP="00D439AE">
      <w:pPr>
        <w:jc w:val="both"/>
        <w:rPr>
          <w:rFonts w:cstheme="minorHAnsi"/>
          <w:sz w:val="24"/>
          <w:szCs w:val="24"/>
        </w:rPr>
      </w:pPr>
    </w:p>
    <w:p w14:paraId="29B95D8D" w14:textId="77777777" w:rsidR="0096012E" w:rsidRPr="00946E97" w:rsidRDefault="00CA111C" w:rsidP="00D439AE">
      <w:pPr>
        <w:pStyle w:val="Heading2"/>
        <w:jc w:val="both"/>
        <w:rPr>
          <w:rFonts w:cstheme="minorHAnsi"/>
          <w:b/>
          <w:szCs w:val="24"/>
        </w:rPr>
      </w:pPr>
      <w:bookmarkStart w:id="12" w:name="_Toc43374613"/>
      <w:r w:rsidRPr="00946E97">
        <w:rPr>
          <w:rFonts w:cstheme="minorHAnsi"/>
          <w:szCs w:val="24"/>
        </w:rPr>
        <w:t>Part IX</w:t>
      </w:r>
      <w:bookmarkEnd w:id="12"/>
      <w:r w:rsidRPr="00946E97">
        <w:rPr>
          <w:rFonts w:cstheme="minorHAnsi"/>
          <w:szCs w:val="24"/>
        </w:rPr>
        <w:t xml:space="preserve"> </w:t>
      </w:r>
    </w:p>
    <w:p w14:paraId="4746B141" w14:textId="77777777" w:rsidR="00CA111C" w:rsidRPr="005A1CAD" w:rsidRDefault="00CA111C" w:rsidP="005A1CAD">
      <w:pPr>
        <w:pStyle w:val="ListParagraph"/>
        <w:numPr>
          <w:ilvl w:val="0"/>
          <w:numId w:val="16"/>
        </w:numPr>
        <w:jc w:val="both"/>
        <w:rPr>
          <w:rFonts w:cstheme="minorHAnsi"/>
          <w:b/>
          <w:i/>
          <w:sz w:val="24"/>
          <w:szCs w:val="24"/>
        </w:rPr>
      </w:pPr>
      <w:r w:rsidRPr="005A1CAD">
        <w:rPr>
          <w:rFonts w:cstheme="minorHAnsi"/>
          <w:b/>
          <w:i/>
          <w:sz w:val="24"/>
          <w:szCs w:val="24"/>
        </w:rPr>
        <w:t>Codes of Conduct</w:t>
      </w:r>
    </w:p>
    <w:p w14:paraId="7E0AEBF1" w14:textId="77777777" w:rsidR="00DE1AF0" w:rsidRDefault="006F174A" w:rsidP="00D439AE">
      <w:pPr>
        <w:jc w:val="both"/>
        <w:rPr>
          <w:rFonts w:cstheme="minorHAnsi"/>
          <w:sz w:val="24"/>
          <w:szCs w:val="24"/>
        </w:rPr>
      </w:pPr>
      <w:r w:rsidRPr="00946E97">
        <w:rPr>
          <w:rFonts w:cstheme="minorHAnsi"/>
          <w:sz w:val="24"/>
          <w:szCs w:val="24"/>
        </w:rPr>
        <w:lastRenderedPageBreak/>
        <w:t>T</w:t>
      </w:r>
      <w:r w:rsidR="007F21E6" w:rsidRPr="00946E97">
        <w:rPr>
          <w:rFonts w:cstheme="minorHAnsi"/>
          <w:sz w:val="24"/>
          <w:szCs w:val="24"/>
        </w:rPr>
        <w:t xml:space="preserve">he Bill needs to expand on the duties of the </w:t>
      </w:r>
      <w:r w:rsidR="00C940D1">
        <w:rPr>
          <w:rFonts w:cstheme="minorHAnsi"/>
          <w:sz w:val="24"/>
          <w:szCs w:val="24"/>
        </w:rPr>
        <w:t xml:space="preserve">data </w:t>
      </w:r>
      <w:r w:rsidR="007F21E6" w:rsidRPr="00946E97">
        <w:rPr>
          <w:rFonts w:cstheme="minorHAnsi"/>
          <w:sz w:val="24"/>
          <w:szCs w:val="24"/>
        </w:rPr>
        <w:t>controller and data processor</w:t>
      </w:r>
      <w:r w:rsidR="004D32A8" w:rsidRPr="00946E97">
        <w:rPr>
          <w:rFonts w:cstheme="minorHAnsi"/>
          <w:sz w:val="24"/>
          <w:szCs w:val="24"/>
        </w:rPr>
        <w:t>s</w:t>
      </w:r>
      <w:r w:rsidR="007F21E6" w:rsidRPr="00946E97">
        <w:rPr>
          <w:rFonts w:cstheme="minorHAnsi"/>
          <w:sz w:val="24"/>
          <w:szCs w:val="24"/>
        </w:rPr>
        <w:t xml:space="preserve"> which are </w:t>
      </w:r>
      <w:r w:rsidR="00DE1AF0">
        <w:rPr>
          <w:rFonts w:cstheme="minorHAnsi"/>
          <w:sz w:val="24"/>
          <w:szCs w:val="24"/>
        </w:rPr>
        <w:t xml:space="preserve">appear in different sections of </w:t>
      </w:r>
      <w:r w:rsidR="007F21E6" w:rsidRPr="00946E97">
        <w:rPr>
          <w:rFonts w:cstheme="minorHAnsi"/>
          <w:sz w:val="24"/>
          <w:szCs w:val="24"/>
        </w:rPr>
        <w:t xml:space="preserve">the Bill. Compliance with the Bill becomes complicated for data controllers and processors who might have limited capacities and skills. If </w:t>
      </w:r>
      <w:r w:rsidRPr="00946E97">
        <w:rPr>
          <w:rFonts w:cstheme="minorHAnsi"/>
          <w:sz w:val="24"/>
          <w:szCs w:val="24"/>
        </w:rPr>
        <w:t xml:space="preserve">Bill is enacted in its </w:t>
      </w:r>
      <w:r w:rsidR="007F21E6" w:rsidRPr="00946E97">
        <w:rPr>
          <w:rFonts w:cstheme="minorHAnsi"/>
          <w:sz w:val="24"/>
          <w:szCs w:val="24"/>
        </w:rPr>
        <w:t xml:space="preserve">current state, the Authority should develop very </w:t>
      </w:r>
      <w:r w:rsidRPr="00946E97">
        <w:rPr>
          <w:rFonts w:cstheme="minorHAnsi"/>
          <w:sz w:val="24"/>
          <w:szCs w:val="24"/>
        </w:rPr>
        <w:t>user-friendly</w:t>
      </w:r>
      <w:r w:rsidR="007F21E6" w:rsidRPr="00946E97">
        <w:rPr>
          <w:rFonts w:cstheme="minorHAnsi"/>
          <w:sz w:val="24"/>
          <w:szCs w:val="24"/>
        </w:rPr>
        <w:t xml:space="preserve"> guidelines </w:t>
      </w:r>
      <w:r w:rsidRPr="00946E97">
        <w:rPr>
          <w:rFonts w:cstheme="minorHAnsi"/>
          <w:sz w:val="24"/>
          <w:szCs w:val="24"/>
        </w:rPr>
        <w:t>to allow compliance</w:t>
      </w:r>
      <w:r w:rsidR="004D32A8" w:rsidRPr="00946E97">
        <w:rPr>
          <w:rFonts w:cstheme="minorHAnsi"/>
          <w:sz w:val="24"/>
          <w:szCs w:val="24"/>
        </w:rPr>
        <w:t xml:space="preserve"> for data processors and controllers who have a duty to meet obligations that advance data subject’s rights</w:t>
      </w:r>
      <w:r w:rsidRPr="00946E97">
        <w:rPr>
          <w:rFonts w:cstheme="minorHAnsi"/>
          <w:sz w:val="24"/>
          <w:szCs w:val="24"/>
        </w:rPr>
        <w:t>.</w:t>
      </w:r>
      <w:r w:rsidR="00F627F6" w:rsidRPr="00946E97">
        <w:rPr>
          <w:rFonts w:cstheme="minorHAnsi"/>
          <w:sz w:val="24"/>
          <w:szCs w:val="24"/>
        </w:rPr>
        <w:t xml:space="preserve"> </w:t>
      </w:r>
    </w:p>
    <w:p w14:paraId="040A7AE2" w14:textId="77777777" w:rsidR="0096012E" w:rsidRPr="00946E97" w:rsidRDefault="00F627F6" w:rsidP="00D439AE">
      <w:pPr>
        <w:jc w:val="both"/>
        <w:rPr>
          <w:rFonts w:cstheme="minorHAnsi"/>
          <w:sz w:val="24"/>
          <w:szCs w:val="24"/>
        </w:rPr>
      </w:pPr>
      <w:r w:rsidRPr="00946E97">
        <w:rPr>
          <w:rFonts w:cstheme="minorHAnsi"/>
          <w:sz w:val="24"/>
          <w:szCs w:val="24"/>
        </w:rPr>
        <w:t>Codes of conduct are useful in providing guidelines on how the controller and processors c</w:t>
      </w:r>
      <w:r w:rsidR="00DE1AF0">
        <w:rPr>
          <w:rFonts w:cstheme="minorHAnsi"/>
          <w:sz w:val="24"/>
          <w:szCs w:val="24"/>
        </w:rPr>
        <w:t xml:space="preserve">an regulate their behavior. Codes of conduct are necessary </w:t>
      </w:r>
      <w:r w:rsidR="00386821" w:rsidRPr="00946E97">
        <w:rPr>
          <w:rFonts w:cstheme="minorHAnsi"/>
          <w:sz w:val="24"/>
          <w:szCs w:val="24"/>
        </w:rPr>
        <w:t xml:space="preserve">accountability tools. Ordinarily, codes if adopted through and by certain trade associations are mandatory in guiding the practice of a profession. The Authority should use these tools for </w:t>
      </w:r>
      <w:r w:rsidR="001D4E65" w:rsidRPr="00946E97">
        <w:rPr>
          <w:rFonts w:cstheme="minorHAnsi"/>
          <w:sz w:val="24"/>
          <w:szCs w:val="24"/>
        </w:rPr>
        <w:t>accountability and</w:t>
      </w:r>
      <w:r w:rsidR="00386821" w:rsidRPr="00946E97">
        <w:rPr>
          <w:rFonts w:cstheme="minorHAnsi"/>
          <w:sz w:val="24"/>
          <w:szCs w:val="24"/>
        </w:rPr>
        <w:t xml:space="preserve"> provide operational application to complicated B</w:t>
      </w:r>
      <w:r w:rsidR="001D4E65" w:rsidRPr="00946E97">
        <w:rPr>
          <w:rFonts w:cstheme="minorHAnsi"/>
          <w:sz w:val="24"/>
          <w:szCs w:val="24"/>
        </w:rPr>
        <w:t xml:space="preserve">ill provisions. </w:t>
      </w:r>
    </w:p>
    <w:p w14:paraId="2118ED2C" w14:textId="77777777" w:rsidR="00643160" w:rsidRDefault="001D4E65" w:rsidP="00D439AE">
      <w:pPr>
        <w:jc w:val="both"/>
        <w:rPr>
          <w:rFonts w:cstheme="minorHAnsi"/>
          <w:sz w:val="24"/>
          <w:szCs w:val="24"/>
        </w:rPr>
      </w:pPr>
      <w:r w:rsidRPr="00946E97">
        <w:rPr>
          <w:rFonts w:cstheme="minorHAnsi"/>
          <w:sz w:val="24"/>
          <w:szCs w:val="24"/>
        </w:rPr>
        <w:t>Codes will contain</w:t>
      </w:r>
      <w:r w:rsidR="00386821" w:rsidRPr="00946E97">
        <w:rPr>
          <w:rFonts w:cstheme="minorHAnsi"/>
          <w:sz w:val="24"/>
          <w:szCs w:val="24"/>
        </w:rPr>
        <w:t xml:space="preserve"> what is legally and ethically</w:t>
      </w:r>
      <w:r w:rsidRPr="00946E97">
        <w:rPr>
          <w:rFonts w:cstheme="minorHAnsi"/>
          <w:sz w:val="24"/>
          <w:szCs w:val="24"/>
        </w:rPr>
        <w:t xml:space="preserve"> permissible</w:t>
      </w:r>
      <w:r w:rsidR="00BC7BBF" w:rsidRPr="00946E97">
        <w:rPr>
          <w:rFonts w:cstheme="minorHAnsi"/>
          <w:sz w:val="24"/>
          <w:szCs w:val="24"/>
        </w:rPr>
        <w:t xml:space="preserve">. </w:t>
      </w:r>
      <w:r w:rsidR="00CD657E" w:rsidRPr="00946E97">
        <w:rPr>
          <w:rFonts w:cstheme="minorHAnsi"/>
          <w:sz w:val="24"/>
          <w:szCs w:val="24"/>
        </w:rPr>
        <w:t xml:space="preserve">From the Bill, some of the code of conduct issues must include: fair and transparent processing; legitimate interests or purpose (s11); collection of personal data (s12); technical and organizational measures (s18(1)); </w:t>
      </w:r>
      <w:r w:rsidR="00EB32CB" w:rsidRPr="00946E97">
        <w:rPr>
          <w:rFonts w:cstheme="minorHAnsi"/>
          <w:sz w:val="24"/>
          <w:szCs w:val="24"/>
        </w:rPr>
        <w:t>breach notification and notification to data subject (</w:t>
      </w:r>
      <w:r w:rsidR="005C422B" w:rsidRPr="00946E97">
        <w:rPr>
          <w:rFonts w:cstheme="minorHAnsi"/>
          <w:sz w:val="24"/>
          <w:szCs w:val="24"/>
        </w:rPr>
        <w:t>s19); data transfers</w:t>
      </w:r>
      <w:r w:rsidR="007650D3" w:rsidRPr="00946E97">
        <w:rPr>
          <w:rFonts w:cstheme="minorHAnsi"/>
          <w:sz w:val="24"/>
          <w:szCs w:val="24"/>
        </w:rPr>
        <w:t xml:space="preserve"> (s28-29) among others. </w:t>
      </w:r>
      <w:r w:rsidR="00643160" w:rsidRPr="00946E97">
        <w:rPr>
          <w:rFonts w:cstheme="minorHAnsi"/>
          <w:sz w:val="24"/>
          <w:szCs w:val="24"/>
        </w:rPr>
        <w:t>Sectoral codes of conduct reduce compliance costs for controllers.</w:t>
      </w:r>
    </w:p>
    <w:p w14:paraId="544F65E2" w14:textId="77777777" w:rsidR="00A20056" w:rsidRDefault="00A20056" w:rsidP="00D439AE">
      <w:pPr>
        <w:jc w:val="both"/>
        <w:rPr>
          <w:rFonts w:cstheme="minorHAnsi"/>
          <w:sz w:val="24"/>
          <w:szCs w:val="24"/>
        </w:rPr>
      </w:pPr>
    </w:p>
    <w:p w14:paraId="05047216" w14:textId="77777777" w:rsidR="00B50E49" w:rsidRPr="005A1CAD" w:rsidRDefault="00B50E49" w:rsidP="005A1CAD">
      <w:pPr>
        <w:pStyle w:val="ListParagraph"/>
        <w:numPr>
          <w:ilvl w:val="0"/>
          <w:numId w:val="16"/>
        </w:numPr>
        <w:jc w:val="both"/>
        <w:rPr>
          <w:rFonts w:cstheme="minorHAnsi"/>
          <w:b/>
          <w:i/>
          <w:sz w:val="24"/>
          <w:szCs w:val="24"/>
        </w:rPr>
      </w:pPr>
      <w:r w:rsidRPr="005A1CAD">
        <w:rPr>
          <w:rFonts w:cstheme="minorHAnsi"/>
          <w:b/>
          <w:i/>
          <w:sz w:val="24"/>
          <w:szCs w:val="24"/>
        </w:rPr>
        <w:t>Transfer of Data across borders</w:t>
      </w:r>
    </w:p>
    <w:p w14:paraId="16996773" w14:textId="77777777" w:rsidR="00415899" w:rsidRDefault="00415899" w:rsidP="00D439AE">
      <w:pPr>
        <w:jc w:val="both"/>
        <w:rPr>
          <w:rFonts w:cstheme="minorHAnsi"/>
          <w:sz w:val="24"/>
          <w:szCs w:val="24"/>
        </w:rPr>
      </w:pPr>
      <w:r>
        <w:rPr>
          <w:rFonts w:cstheme="minorHAnsi"/>
          <w:sz w:val="24"/>
          <w:szCs w:val="24"/>
        </w:rPr>
        <w:t>The connectedness of the world makes it impossible to ignore prospects of cross border transfers of data, from public and private sector. Organizations that use IT services, such as cloud storage services, for instance</w:t>
      </w:r>
      <w:r w:rsidRPr="00415899">
        <w:rPr>
          <w:rFonts w:cstheme="minorHAnsi"/>
          <w:sz w:val="24"/>
          <w:szCs w:val="24"/>
        </w:rPr>
        <w:t xml:space="preserve"> Econet-owned Liquid Telecom signed an agreement to invest $50 million to develop data cent</w:t>
      </w:r>
      <w:r>
        <w:rPr>
          <w:rFonts w:cstheme="minorHAnsi"/>
          <w:sz w:val="24"/>
          <w:szCs w:val="24"/>
        </w:rPr>
        <w:t xml:space="preserve">ers and cloud services in Egypt </w:t>
      </w:r>
      <w:r>
        <w:rPr>
          <w:rStyle w:val="FootnoteReference"/>
          <w:rFonts w:cstheme="minorHAnsi"/>
          <w:sz w:val="24"/>
          <w:szCs w:val="24"/>
        </w:rPr>
        <w:footnoteReference w:id="26"/>
      </w:r>
      <w:r>
        <w:rPr>
          <w:rFonts w:cstheme="minorHAnsi"/>
          <w:sz w:val="24"/>
          <w:szCs w:val="24"/>
        </w:rPr>
        <w:t xml:space="preserve"> or recruitment companies with </w:t>
      </w:r>
      <w:r w:rsidRPr="00415899">
        <w:rPr>
          <w:rFonts w:cstheme="minorHAnsi"/>
          <w:sz w:val="24"/>
          <w:szCs w:val="24"/>
        </w:rPr>
        <w:t xml:space="preserve">remote access </w:t>
      </w:r>
      <w:r>
        <w:rPr>
          <w:rFonts w:cstheme="minorHAnsi"/>
          <w:sz w:val="24"/>
          <w:szCs w:val="24"/>
        </w:rPr>
        <w:t>and global human resources</w:t>
      </w:r>
      <w:r w:rsidR="00FE7B9A">
        <w:rPr>
          <w:rFonts w:cstheme="minorHAnsi"/>
          <w:sz w:val="24"/>
          <w:szCs w:val="24"/>
        </w:rPr>
        <w:t xml:space="preserve"> databases will require to</w:t>
      </w:r>
      <w:r w:rsidRPr="00415899">
        <w:rPr>
          <w:rFonts w:cstheme="minorHAnsi"/>
          <w:sz w:val="24"/>
          <w:szCs w:val="24"/>
        </w:rPr>
        <w:t xml:space="preserve"> implement lawful data transfer mechanisms</w:t>
      </w:r>
      <w:r w:rsidR="00FE7B9A">
        <w:rPr>
          <w:rFonts w:cstheme="minorHAnsi"/>
          <w:sz w:val="24"/>
          <w:szCs w:val="24"/>
        </w:rPr>
        <w:t>.</w:t>
      </w:r>
    </w:p>
    <w:p w14:paraId="162255C3" w14:textId="77777777" w:rsidR="00B50E49" w:rsidRDefault="00CC6719" w:rsidP="00D439AE">
      <w:pPr>
        <w:jc w:val="both"/>
        <w:rPr>
          <w:rFonts w:cstheme="minorHAnsi"/>
          <w:sz w:val="24"/>
          <w:szCs w:val="24"/>
        </w:rPr>
      </w:pPr>
      <w:r>
        <w:rPr>
          <w:rFonts w:cstheme="minorHAnsi"/>
          <w:sz w:val="24"/>
          <w:szCs w:val="24"/>
        </w:rPr>
        <w:t xml:space="preserve">Section 28-29 provide for data transfer across borders. For transfers to occur, several </w:t>
      </w:r>
      <w:r w:rsidR="00141BEE">
        <w:rPr>
          <w:rFonts w:cstheme="minorHAnsi"/>
          <w:sz w:val="24"/>
          <w:szCs w:val="24"/>
        </w:rPr>
        <w:t xml:space="preserve">requirements must be satisfied under s28, while s29 provides for exemptions which will be discussed below. Section 29(1)(d) allows for transfers without satisfaction or assurance of adequate level of protection in another place if “necessary or legally required on important public interest grounds”. Again, public interest grounds </w:t>
      </w:r>
      <w:r w:rsidR="00AC43FD">
        <w:rPr>
          <w:rFonts w:cstheme="minorHAnsi"/>
          <w:sz w:val="24"/>
          <w:szCs w:val="24"/>
        </w:rPr>
        <w:t>remain</w:t>
      </w:r>
      <w:r w:rsidR="00141BEE">
        <w:rPr>
          <w:rFonts w:cstheme="minorHAnsi"/>
          <w:sz w:val="24"/>
          <w:szCs w:val="24"/>
        </w:rPr>
        <w:t xml:space="preserve"> undefined in the Bill, making this susceptible to abuse. </w:t>
      </w:r>
    </w:p>
    <w:p w14:paraId="3E40C90C" w14:textId="77777777" w:rsidR="00CC6719" w:rsidRDefault="000D4287" w:rsidP="00D439AE">
      <w:pPr>
        <w:jc w:val="both"/>
        <w:rPr>
          <w:rFonts w:cstheme="minorHAnsi"/>
          <w:sz w:val="24"/>
          <w:szCs w:val="24"/>
        </w:rPr>
      </w:pPr>
      <w:r>
        <w:rPr>
          <w:rFonts w:cstheme="minorHAnsi"/>
          <w:sz w:val="24"/>
          <w:szCs w:val="24"/>
        </w:rPr>
        <w:t>Further s 29(1)(e)</w:t>
      </w:r>
      <w:r w:rsidR="000230B1">
        <w:rPr>
          <w:rFonts w:cstheme="minorHAnsi"/>
          <w:sz w:val="24"/>
          <w:szCs w:val="24"/>
        </w:rPr>
        <w:t xml:space="preserve">, allows for </w:t>
      </w:r>
      <w:r w:rsidR="00AE23E0">
        <w:rPr>
          <w:rFonts w:cstheme="minorHAnsi"/>
          <w:sz w:val="24"/>
          <w:szCs w:val="24"/>
        </w:rPr>
        <w:t xml:space="preserve">transfer </w:t>
      </w:r>
      <w:r w:rsidR="000230B1">
        <w:rPr>
          <w:rFonts w:cstheme="minorHAnsi"/>
          <w:sz w:val="24"/>
          <w:szCs w:val="24"/>
        </w:rPr>
        <w:t xml:space="preserve">without adequate protection if this </w:t>
      </w:r>
      <w:r w:rsidR="00AE23E0">
        <w:rPr>
          <w:rFonts w:cstheme="minorHAnsi"/>
          <w:sz w:val="24"/>
          <w:szCs w:val="24"/>
        </w:rPr>
        <w:t xml:space="preserve">is necessary </w:t>
      </w:r>
      <w:r w:rsidR="00356683">
        <w:rPr>
          <w:rFonts w:cstheme="minorHAnsi"/>
          <w:sz w:val="24"/>
          <w:szCs w:val="24"/>
        </w:rPr>
        <w:t>in order to protect the vital</w:t>
      </w:r>
      <w:r w:rsidR="000230B1">
        <w:rPr>
          <w:rFonts w:cstheme="minorHAnsi"/>
          <w:sz w:val="24"/>
          <w:szCs w:val="24"/>
        </w:rPr>
        <w:t xml:space="preserve"> interests of the data subject. This drafting is also considerab</w:t>
      </w:r>
      <w:r w:rsidR="0049219D">
        <w:rPr>
          <w:rFonts w:cstheme="minorHAnsi"/>
          <w:sz w:val="24"/>
          <w:szCs w:val="24"/>
        </w:rPr>
        <w:t>ly wide on vital interests and the guidelines must outline this.</w:t>
      </w:r>
    </w:p>
    <w:p w14:paraId="566D9578" w14:textId="77777777" w:rsidR="008B63EF" w:rsidRPr="00D439AE" w:rsidRDefault="00D439AE" w:rsidP="00224BF4">
      <w:pPr>
        <w:pStyle w:val="Heading2"/>
      </w:pPr>
      <w:bookmarkStart w:id="13" w:name="_Toc43374614"/>
      <w:r w:rsidRPr="00D439AE">
        <w:lastRenderedPageBreak/>
        <w:t>Part X</w:t>
      </w:r>
      <w:bookmarkEnd w:id="13"/>
    </w:p>
    <w:p w14:paraId="450BFAB4" w14:textId="77777777" w:rsidR="00D439AE" w:rsidRPr="005A1CAD" w:rsidRDefault="00D439AE" w:rsidP="005A1CAD">
      <w:pPr>
        <w:pStyle w:val="ListParagraph"/>
        <w:numPr>
          <w:ilvl w:val="0"/>
          <w:numId w:val="17"/>
        </w:numPr>
        <w:jc w:val="both"/>
        <w:rPr>
          <w:rFonts w:cstheme="minorHAnsi"/>
          <w:b/>
          <w:i/>
          <w:sz w:val="24"/>
          <w:szCs w:val="24"/>
        </w:rPr>
      </w:pPr>
      <w:r w:rsidRPr="005A1CAD">
        <w:rPr>
          <w:rFonts w:cstheme="minorHAnsi"/>
          <w:b/>
          <w:i/>
          <w:sz w:val="24"/>
          <w:szCs w:val="24"/>
        </w:rPr>
        <w:t>Whistleblowing</w:t>
      </w:r>
    </w:p>
    <w:p w14:paraId="779DAA9F" w14:textId="77777777" w:rsidR="00D439AE" w:rsidRDefault="006F3C1A" w:rsidP="00D439AE">
      <w:pPr>
        <w:jc w:val="both"/>
        <w:rPr>
          <w:rFonts w:cstheme="minorHAnsi"/>
          <w:sz w:val="24"/>
          <w:szCs w:val="24"/>
        </w:rPr>
      </w:pPr>
      <w:r>
        <w:rPr>
          <w:rFonts w:cstheme="minorHAnsi"/>
          <w:sz w:val="24"/>
          <w:szCs w:val="24"/>
        </w:rPr>
        <w:t xml:space="preserve">Section 31(1) of the Bill gives power to the Authority to establish rules giving the authorization and governing of the whistleblowing system. </w:t>
      </w:r>
      <w:r w:rsidR="00AF3E24">
        <w:rPr>
          <w:rFonts w:cstheme="minorHAnsi"/>
          <w:sz w:val="24"/>
          <w:szCs w:val="24"/>
        </w:rPr>
        <w:t xml:space="preserve">The rest of Section 31 sets out other considerations that must be taken into account in handling information received from a whistleblower and in conducting the subsequent investigation. </w:t>
      </w:r>
      <w:r w:rsidR="007822C7">
        <w:rPr>
          <w:rFonts w:cstheme="minorHAnsi"/>
          <w:sz w:val="24"/>
          <w:szCs w:val="24"/>
        </w:rPr>
        <w:t xml:space="preserve">Despite </w:t>
      </w:r>
      <w:r w:rsidR="00973E07">
        <w:rPr>
          <w:rFonts w:cstheme="minorHAnsi"/>
          <w:sz w:val="24"/>
          <w:szCs w:val="24"/>
        </w:rPr>
        <w:t>the length of the provision, this</w:t>
      </w:r>
      <w:r w:rsidR="007822C7">
        <w:rPr>
          <w:rFonts w:cstheme="minorHAnsi"/>
          <w:sz w:val="24"/>
          <w:szCs w:val="24"/>
        </w:rPr>
        <w:t xml:space="preserve"> Section is thin on any protection</w:t>
      </w:r>
      <w:r w:rsidR="00973E07">
        <w:rPr>
          <w:rFonts w:cstheme="minorHAnsi"/>
          <w:sz w:val="24"/>
          <w:szCs w:val="24"/>
        </w:rPr>
        <w:t>s guaranteed to whistleblowers – it actually does not offer any protections.</w:t>
      </w:r>
    </w:p>
    <w:p w14:paraId="76A790CA" w14:textId="77777777" w:rsidR="00973E07" w:rsidRDefault="00973E07" w:rsidP="00D439AE">
      <w:pPr>
        <w:jc w:val="both"/>
        <w:rPr>
          <w:rFonts w:cstheme="minorHAnsi"/>
          <w:sz w:val="24"/>
          <w:szCs w:val="24"/>
        </w:rPr>
      </w:pPr>
      <w:r>
        <w:rPr>
          <w:rFonts w:cstheme="minorHAnsi"/>
          <w:sz w:val="24"/>
          <w:szCs w:val="24"/>
        </w:rPr>
        <w:t xml:space="preserve">This pales in comparison to efforts in neighbouring South Africa to protect whistleblowers through the </w:t>
      </w:r>
      <w:r w:rsidRPr="00973E07">
        <w:rPr>
          <w:rFonts w:cstheme="minorHAnsi"/>
          <w:sz w:val="24"/>
          <w:szCs w:val="24"/>
        </w:rPr>
        <w:t>Protected Disclosures Act</w:t>
      </w:r>
      <w:r>
        <w:rPr>
          <w:rFonts w:cstheme="minorHAnsi"/>
          <w:sz w:val="24"/>
          <w:szCs w:val="24"/>
        </w:rPr>
        <w:t>.</w:t>
      </w:r>
      <w:r>
        <w:rPr>
          <w:rStyle w:val="FootnoteReference"/>
          <w:rFonts w:cstheme="minorHAnsi"/>
          <w:sz w:val="24"/>
          <w:szCs w:val="24"/>
        </w:rPr>
        <w:footnoteReference w:id="27"/>
      </w:r>
      <w:r w:rsidR="00AB1824">
        <w:rPr>
          <w:rFonts w:cstheme="minorHAnsi"/>
          <w:sz w:val="24"/>
          <w:szCs w:val="24"/>
        </w:rPr>
        <w:t xml:space="preserve"> It is unlikely that Regulations w</w:t>
      </w:r>
      <w:r w:rsidR="00FB0316">
        <w:rPr>
          <w:rFonts w:cstheme="minorHAnsi"/>
          <w:sz w:val="24"/>
          <w:szCs w:val="24"/>
        </w:rPr>
        <w:t>ill be comprehensive enough to cover an area that countries such as South Africa, the United Kingdom</w:t>
      </w:r>
      <w:r w:rsidR="007954C4">
        <w:rPr>
          <w:rStyle w:val="FootnoteReference"/>
          <w:rFonts w:cstheme="minorHAnsi"/>
          <w:sz w:val="24"/>
          <w:szCs w:val="24"/>
        </w:rPr>
        <w:footnoteReference w:id="28"/>
      </w:r>
      <w:r w:rsidR="00FB0316">
        <w:rPr>
          <w:rFonts w:cstheme="minorHAnsi"/>
          <w:sz w:val="24"/>
          <w:szCs w:val="24"/>
        </w:rPr>
        <w:t xml:space="preserve"> and the United States of America</w:t>
      </w:r>
      <w:r w:rsidR="007954C4">
        <w:rPr>
          <w:rStyle w:val="FootnoteReference"/>
          <w:rFonts w:cstheme="minorHAnsi"/>
          <w:sz w:val="24"/>
          <w:szCs w:val="24"/>
        </w:rPr>
        <w:footnoteReference w:id="29"/>
      </w:r>
      <w:r w:rsidR="00FB0316">
        <w:rPr>
          <w:rFonts w:cstheme="minorHAnsi"/>
          <w:sz w:val="24"/>
          <w:szCs w:val="24"/>
        </w:rPr>
        <w:t xml:space="preserve"> have dedicated entire Acts to.</w:t>
      </w:r>
      <w:r w:rsidR="007954C4">
        <w:rPr>
          <w:rFonts w:cstheme="minorHAnsi"/>
          <w:sz w:val="24"/>
          <w:szCs w:val="24"/>
        </w:rPr>
        <w:t xml:space="preserve"> This lack of actionable legislation to regulate whistleblowing is a cause for concern in </w:t>
      </w:r>
      <w:r w:rsidR="00AA261E">
        <w:rPr>
          <w:rFonts w:cstheme="minorHAnsi"/>
          <w:sz w:val="24"/>
          <w:szCs w:val="24"/>
        </w:rPr>
        <w:t>a country such as Zimbabwe that</w:t>
      </w:r>
      <w:r w:rsidR="007954C4">
        <w:rPr>
          <w:rFonts w:cstheme="minorHAnsi"/>
          <w:sz w:val="24"/>
          <w:szCs w:val="24"/>
        </w:rPr>
        <w:t xml:space="preserve"> is struggling </w:t>
      </w:r>
      <w:r w:rsidR="00AA261E">
        <w:rPr>
          <w:rFonts w:cstheme="minorHAnsi"/>
          <w:sz w:val="24"/>
          <w:szCs w:val="24"/>
        </w:rPr>
        <w:t>with deep-rooted corruption in both the private and public sectors.</w:t>
      </w:r>
    </w:p>
    <w:p w14:paraId="156A9F7B" w14:textId="77777777" w:rsidR="007F2D7D" w:rsidRDefault="007F2D7D" w:rsidP="00D439AE">
      <w:pPr>
        <w:jc w:val="both"/>
        <w:rPr>
          <w:rFonts w:cstheme="minorHAnsi"/>
          <w:sz w:val="24"/>
          <w:szCs w:val="24"/>
        </w:rPr>
      </w:pPr>
      <w:r>
        <w:rPr>
          <w:rFonts w:cstheme="minorHAnsi"/>
          <w:sz w:val="24"/>
          <w:szCs w:val="24"/>
        </w:rPr>
        <w:t>The recommendation here is that this Section be revised to set out guarantees of protection for whistleblowers as well as other concrete steps in the handling of investigations that result from whistleblower revelations.</w:t>
      </w:r>
    </w:p>
    <w:p w14:paraId="3674DC2B" w14:textId="77777777" w:rsidR="001D785D" w:rsidRPr="001D785D" w:rsidRDefault="001D785D" w:rsidP="00224BF4">
      <w:pPr>
        <w:pStyle w:val="Heading2"/>
      </w:pPr>
      <w:bookmarkStart w:id="14" w:name="_Toc43374615"/>
      <w:r w:rsidRPr="001D785D">
        <w:t>Part XII</w:t>
      </w:r>
      <w:bookmarkEnd w:id="14"/>
    </w:p>
    <w:p w14:paraId="3C2F3716" w14:textId="77777777" w:rsidR="001D785D" w:rsidRPr="005A1CAD" w:rsidRDefault="001D785D" w:rsidP="005A1CAD">
      <w:pPr>
        <w:pStyle w:val="ListParagraph"/>
        <w:numPr>
          <w:ilvl w:val="0"/>
          <w:numId w:val="18"/>
        </w:numPr>
        <w:jc w:val="both"/>
        <w:rPr>
          <w:rFonts w:cstheme="minorHAnsi"/>
          <w:b/>
          <w:i/>
          <w:sz w:val="24"/>
          <w:szCs w:val="24"/>
        </w:rPr>
      </w:pPr>
      <w:r w:rsidRPr="005A1CAD">
        <w:rPr>
          <w:rFonts w:cstheme="minorHAnsi"/>
          <w:b/>
          <w:i/>
          <w:sz w:val="24"/>
          <w:szCs w:val="24"/>
        </w:rPr>
        <w:t>Cybercrime provisions</w:t>
      </w:r>
    </w:p>
    <w:p w14:paraId="7A611C2F" w14:textId="77777777" w:rsidR="00ED1B6D" w:rsidRDefault="00ED1B6D" w:rsidP="00ED1B6D">
      <w:pPr>
        <w:jc w:val="both"/>
        <w:rPr>
          <w:rFonts w:cstheme="minorHAnsi"/>
          <w:sz w:val="24"/>
          <w:szCs w:val="24"/>
        </w:rPr>
      </w:pPr>
      <w:r w:rsidRPr="00ED1B6D">
        <w:rPr>
          <w:rFonts w:cstheme="minorHAnsi"/>
          <w:sz w:val="24"/>
          <w:szCs w:val="24"/>
        </w:rPr>
        <w:t xml:space="preserve">Cyber security and computer crime in Zimbabwe is currently regulated in terms of Chapter </w:t>
      </w:r>
      <w:r w:rsidR="00C27C1B">
        <w:rPr>
          <w:rFonts w:cstheme="minorHAnsi"/>
          <w:sz w:val="24"/>
          <w:szCs w:val="24"/>
        </w:rPr>
        <w:t>VIII of the Criminal Law Code. Part XII of t</w:t>
      </w:r>
      <w:r w:rsidRPr="00ED1B6D">
        <w:rPr>
          <w:rFonts w:cstheme="minorHAnsi"/>
          <w:sz w:val="24"/>
          <w:szCs w:val="24"/>
        </w:rPr>
        <w:t>he Bill seeks to amend the acts that are criminalized under this</w:t>
      </w:r>
      <w:r>
        <w:rPr>
          <w:rFonts w:cstheme="minorHAnsi"/>
          <w:sz w:val="24"/>
          <w:szCs w:val="24"/>
        </w:rPr>
        <w:t xml:space="preserve"> part of the Criminal Law Code.</w:t>
      </w:r>
    </w:p>
    <w:p w14:paraId="7A832511" w14:textId="77777777" w:rsidR="003F00A9" w:rsidRDefault="00C27C1B" w:rsidP="00ED1B6D">
      <w:pPr>
        <w:jc w:val="both"/>
        <w:rPr>
          <w:rFonts w:cstheme="minorHAnsi"/>
          <w:sz w:val="24"/>
          <w:szCs w:val="24"/>
        </w:rPr>
      </w:pPr>
      <w:r>
        <w:rPr>
          <w:rFonts w:cstheme="minorHAnsi"/>
          <w:sz w:val="24"/>
          <w:szCs w:val="24"/>
        </w:rPr>
        <w:t xml:space="preserve">Part XII is divided into three categories; the first contains a list of definitions relating to the use of computers, the </w:t>
      </w:r>
      <w:r w:rsidR="00A5647D">
        <w:rPr>
          <w:rFonts w:cstheme="minorHAnsi"/>
          <w:sz w:val="24"/>
          <w:szCs w:val="24"/>
        </w:rPr>
        <w:t xml:space="preserve">information </w:t>
      </w:r>
      <w:r w:rsidR="00602818">
        <w:rPr>
          <w:rFonts w:cstheme="minorHAnsi"/>
          <w:sz w:val="24"/>
          <w:szCs w:val="24"/>
        </w:rPr>
        <w:t xml:space="preserve">on them and other related terms, the second category contains a list of criminal activities relating to computer systems and the third category </w:t>
      </w:r>
      <w:r w:rsidR="003F00A9">
        <w:rPr>
          <w:rFonts w:cstheme="minorHAnsi"/>
          <w:sz w:val="24"/>
          <w:szCs w:val="24"/>
        </w:rPr>
        <w:t>relates to offences relating to electronic communications.</w:t>
      </w:r>
    </w:p>
    <w:p w14:paraId="1431EFE5" w14:textId="77777777" w:rsidR="005E13A9" w:rsidRDefault="003F00A9" w:rsidP="00ED1B6D">
      <w:pPr>
        <w:jc w:val="both"/>
        <w:rPr>
          <w:rFonts w:cstheme="minorHAnsi"/>
          <w:i/>
          <w:sz w:val="24"/>
          <w:szCs w:val="24"/>
        </w:rPr>
      </w:pPr>
      <w:r>
        <w:rPr>
          <w:rFonts w:cstheme="minorHAnsi"/>
          <w:sz w:val="24"/>
          <w:szCs w:val="24"/>
        </w:rPr>
        <w:t>The list of definitions contained under Part XII is fairly easy to understand however</w:t>
      </w:r>
      <w:r w:rsidR="00A5647D">
        <w:rPr>
          <w:rFonts w:cstheme="minorHAnsi"/>
          <w:sz w:val="24"/>
          <w:szCs w:val="24"/>
        </w:rPr>
        <w:t>, there is a worrisome inclusion of the term “</w:t>
      </w:r>
      <w:r w:rsidR="00E47425" w:rsidRPr="003F61D0">
        <w:rPr>
          <w:rFonts w:cstheme="minorHAnsi"/>
          <w:b/>
          <w:sz w:val="24"/>
          <w:szCs w:val="24"/>
        </w:rPr>
        <w:t xml:space="preserve">remote </w:t>
      </w:r>
      <w:r w:rsidR="00A5647D" w:rsidRPr="003F61D0">
        <w:rPr>
          <w:rFonts w:cstheme="minorHAnsi"/>
          <w:b/>
          <w:sz w:val="24"/>
          <w:szCs w:val="24"/>
        </w:rPr>
        <w:t>forensic tool</w:t>
      </w:r>
      <w:r w:rsidR="00A5647D">
        <w:rPr>
          <w:rFonts w:cstheme="minorHAnsi"/>
          <w:sz w:val="24"/>
          <w:szCs w:val="24"/>
        </w:rPr>
        <w:t>.” In this Bill,</w:t>
      </w:r>
      <w:r w:rsidR="00E47425">
        <w:rPr>
          <w:rFonts w:cstheme="minorHAnsi"/>
          <w:sz w:val="24"/>
          <w:szCs w:val="24"/>
        </w:rPr>
        <w:t xml:space="preserve"> the remote forensic tool is defined as</w:t>
      </w:r>
      <w:r w:rsidR="00E47425" w:rsidRPr="00E47425">
        <w:rPr>
          <w:rFonts w:cstheme="minorHAnsi"/>
          <w:sz w:val="24"/>
          <w:szCs w:val="24"/>
        </w:rPr>
        <w:t xml:space="preserve"> </w:t>
      </w:r>
      <w:r w:rsidR="00E47425">
        <w:rPr>
          <w:rFonts w:cstheme="minorHAnsi"/>
          <w:sz w:val="24"/>
          <w:szCs w:val="24"/>
        </w:rPr>
        <w:t>“</w:t>
      </w:r>
      <w:r w:rsidR="00E47425" w:rsidRPr="00E47425">
        <w:rPr>
          <w:rFonts w:cstheme="minorHAnsi"/>
          <w:i/>
          <w:sz w:val="24"/>
          <w:szCs w:val="24"/>
        </w:rPr>
        <w:t>an investigative tool including, software or hardware, installed on or in relation to a computer system or part of a computer system and used to perform tasks that include keystroke logging or transmission of an IP-address</w:t>
      </w:r>
      <w:r w:rsidR="005E13A9">
        <w:rPr>
          <w:rFonts w:cstheme="minorHAnsi"/>
          <w:i/>
          <w:sz w:val="24"/>
          <w:szCs w:val="24"/>
        </w:rPr>
        <w:t>.”</w:t>
      </w:r>
    </w:p>
    <w:p w14:paraId="5ACCDB43" w14:textId="77777777" w:rsidR="005E13A9" w:rsidRDefault="005E13A9" w:rsidP="00ED1B6D">
      <w:pPr>
        <w:jc w:val="both"/>
        <w:rPr>
          <w:rFonts w:cstheme="minorHAnsi"/>
          <w:sz w:val="24"/>
          <w:szCs w:val="24"/>
        </w:rPr>
      </w:pPr>
      <w:r>
        <w:rPr>
          <w:rFonts w:cstheme="minorHAnsi"/>
          <w:sz w:val="24"/>
          <w:szCs w:val="24"/>
        </w:rPr>
        <w:t>This is problematic for several reasons; the use of the word “forensic” gives the impression that this is an investigative tool used to investigate events after the commission of an offence. The definition shows that the tool is actually used be</w:t>
      </w:r>
      <w:r w:rsidR="006F25AB">
        <w:rPr>
          <w:rFonts w:cstheme="minorHAnsi"/>
          <w:sz w:val="24"/>
          <w:szCs w:val="24"/>
        </w:rPr>
        <w:t xml:space="preserve">fore the commission of a crime; it </w:t>
      </w:r>
      <w:r>
        <w:rPr>
          <w:rFonts w:cstheme="minorHAnsi"/>
          <w:sz w:val="24"/>
          <w:szCs w:val="24"/>
        </w:rPr>
        <w:t xml:space="preserve">is a data </w:t>
      </w:r>
      <w:r>
        <w:rPr>
          <w:rFonts w:cstheme="minorHAnsi"/>
          <w:sz w:val="24"/>
          <w:szCs w:val="24"/>
        </w:rPr>
        <w:lastRenderedPageBreak/>
        <w:t>collect</w:t>
      </w:r>
      <w:r w:rsidR="006F25AB">
        <w:rPr>
          <w:rFonts w:cstheme="minorHAnsi"/>
          <w:sz w:val="24"/>
          <w:szCs w:val="24"/>
        </w:rPr>
        <w:t>ion tool that collects which includes</w:t>
      </w:r>
      <w:r>
        <w:rPr>
          <w:rFonts w:cstheme="minorHAnsi"/>
          <w:sz w:val="24"/>
          <w:szCs w:val="24"/>
        </w:rPr>
        <w:t xml:space="preserve"> keystroke logs through software or hardware that is remotely installed on a target’s electronic device. </w:t>
      </w:r>
    </w:p>
    <w:p w14:paraId="00048697" w14:textId="77777777" w:rsidR="005E13A9" w:rsidRDefault="006F25AB" w:rsidP="00ED1B6D">
      <w:pPr>
        <w:jc w:val="both"/>
        <w:rPr>
          <w:rFonts w:cstheme="minorHAnsi"/>
          <w:sz w:val="24"/>
          <w:szCs w:val="24"/>
        </w:rPr>
      </w:pPr>
      <w:r>
        <w:rPr>
          <w:rFonts w:cstheme="minorHAnsi"/>
          <w:sz w:val="24"/>
          <w:szCs w:val="24"/>
        </w:rPr>
        <w:t xml:space="preserve">Keystroke loggers are in actual fact privacy breaching </w:t>
      </w:r>
      <w:r w:rsidR="00AB3464">
        <w:rPr>
          <w:rFonts w:cstheme="minorHAnsi"/>
          <w:sz w:val="24"/>
          <w:szCs w:val="24"/>
        </w:rPr>
        <w:t>tools that</w:t>
      </w:r>
      <w:r>
        <w:rPr>
          <w:rFonts w:cstheme="minorHAnsi"/>
          <w:sz w:val="24"/>
          <w:szCs w:val="24"/>
        </w:rPr>
        <w:t xml:space="preserve"> collect all the information inputted into a device such as a computer by recording every key typed in, the sequence the keys are typed in as well as recording every mouse click. When these key strokes and mouse clicks are matched to websites visited, it becomes easy to </w:t>
      </w:r>
      <w:r w:rsidR="00AB3464">
        <w:rPr>
          <w:rFonts w:cstheme="minorHAnsi"/>
          <w:sz w:val="24"/>
          <w:szCs w:val="24"/>
        </w:rPr>
        <w:t>collect sensitive information such as log in details, passwords, banking information and other forms of sensitive information that is not related to the investigation or crime.</w:t>
      </w:r>
    </w:p>
    <w:p w14:paraId="48ABFBE3" w14:textId="77777777" w:rsidR="003F00A9" w:rsidRDefault="00AB3464" w:rsidP="003F00A9">
      <w:pPr>
        <w:jc w:val="both"/>
        <w:rPr>
          <w:rFonts w:cstheme="minorHAnsi"/>
          <w:sz w:val="24"/>
          <w:szCs w:val="24"/>
        </w:rPr>
      </w:pPr>
      <w:r>
        <w:rPr>
          <w:rFonts w:cstheme="minorHAnsi"/>
          <w:sz w:val="24"/>
          <w:szCs w:val="24"/>
        </w:rPr>
        <w:t xml:space="preserve">Furthermore, neither the Bill nor the Criminal Law Code that it seeks to amend contain any judicial oversight on the use of such far-reaching technologies. </w:t>
      </w:r>
      <w:r w:rsidR="00A710FC">
        <w:rPr>
          <w:rFonts w:cstheme="minorHAnsi"/>
          <w:sz w:val="24"/>
          <w:szCs w:val="24"/>
        </w:rPr>
        <w:t xml:space="preserve">There is no procedure at all relating to how this technology may be used and which state security agents may use it. The lack of any boundary setting provisions within which this technology may be used is shocking </w:t>
      </w:r>
      <w:r w:rsidR="00602818">
        <w:rPr>
          <w:rFonts w:cstheme="minorHAnsi"/>
          <w:sz w:val="24"/>
          <w:szCs w:val="24"/>
        </w:rPr>
        <w:t>and r</w:t>
      </w:r>
      <w:r w:rsidR="003F00A9">
        <w:rPr>
          <w:rFonts w:cstheme="minorHAnsi"/>
          <w:sz w:val="24"/>
          <w:szCs w:val="24"/>
        </w:rPr>
        <w:t>eckless. The ter</w:t>
      </w:r>
      <w:r w:rsidR="009D7F7B">
        <w:rPr>
          <w:rFonts w:cstheme="minorHAnsi"/>
          <w:sz w:val="24"/>
          <w:szCs w:val="24"/>
        </w:rPr>
        <w:t>m remote forensic tool is derived</w:t>
      </w:r>
      <w:r w:rsidR="003F00A9">
        <w:rPr>
          <w:rFonts w:cstheme="minorHAnsi"/>
          <w:sz w:val="24"/>
          <w:szCs w:val="24"/>
        </w:rPr>
        <w:t xml:space="preserve"> from the </w:t>
      </w:r>
      <w:r w:rsidR="003F00A9" w:rsidRPr="003F00A9">
        <w:rPr>
          <w:rFonts w:cstheme="minorHAnsi"/>
          <w:sz w:val="24"/>
          <w:szCs w:val="24"/>
        </w:rPr>
        <w:t xml:space="preserve">SADC Model Law on </w:t>
      </w:r>
      <w:r w:rsidR="003F00A9">
        <w:rPr>
          <w:rFonts w:cstheme="minorHAnsi"/>
          <w:sz w:val="24"/>
          <w:szCs w:val="24"/>
        </w:rPr>
        <w:t>Cyber Crime and Computer Crime.</w:t>
      </w:r>
    </w:p>
    <w:p w14:paraId="08EB13AE" w14:textId="77777777" w:rsidR="003D5D41" w:rsidRPr="00ED1B6D" w:rsidRDefault="003F00A9" w:rsidP="00ED1B6D">
      <w:pPr>
        <w:jc w:val="both"/>
        <w:rPr>
          <w:rFonts w:cstheme="minorHAnsi"/>
          <w:sz w:val="24"/>
          <w:szCs w:val="24"/>
        </w:rPr>
      </w:pPr>
      <w:r>
        <w:rPr>
          <w:rFonts w:cstheme="minorHAnsi"/>
          <w:sz w:val="24"/>
          <w:szCs w:val="24"/>
        </w:rPr>
        <w:t xml:space="preserve">Sections </w:t>
      </w:r>
      <w:r w:rsidR="00946B34">
        <w:rPr>
          <w:rFonts w:cstheme="minorHAnsi"/>
          <w:sz w:val="24"/>
          <w:szCs w:val="24"/>
        </w:rPr>
        <w:t>163 to 163F contain definitions and set out computer related crimes such as hacking, the use of viruses</w:t>
      </w:r>
      <w:r w:rsidR="009D7F7B">
        <w:rPr>
          <w:rFonts w:cstheme="minorHAnsi"/>
          <w:sz w:val="24"/>
          <w:szCs w:val="24"/>
        </w:rPr>
        <w:t xml:space="preserve"> and malware</w:t>
      </w:r>
      <w:r w:rsidR="00946B34">
        <w:rPr>
          <w:rFonts w:cstheme="minorHAnsi"/>
          <w:sz w:val="24"/>
          <w:szCs w:val="24"/>
        </w:rPr>
        <w:t xml:space="preserve"> to unlawfully interrupt with computer data and the proper functioning of computer systems. </w:t>
      </w:r>
      <w:r w:rsidR="009D7F7B">
        <w:rPr>
          <w:rFonts w:cstheme="minorHAnsi"/>
          <w:sz w:val="24"/>
          <w:szCs w:val="24"/>
        </w:rPr>
        <w:t xml:space="preserve">It is important to note that </w:t>
      </w:r>
      <w:r w:rsidR="003D5D41" w:rsidRPr="00ED1B6D">
        <w:rPr>
          <w:rFonts w:cstheme="minorHAnsi"/>
          <w:sz w:val="24"/>
          <w:szCs w:val="24"/>
        </w:rPr>
        <w:t xml:space="preserve">Section 163 of the Bill decriminalizes ethical or white hat hacking, that is, the </w:t>
      </w:r>
      <w:r w:rsidR="009D7F7B" w:rsidRPr="00ED1B6D">
        <w:rPr>
          <w:rFonts w:cstheme="minorHAnsi"/>
          <w:sz w:val="24"/>
          <w:szCs w:val="24"/>
        </w:rPr>
        <w:t>authorized</w:t>
      </w:r>
      <w:r w:rsidR="003D5D41" w:rsidRPr="00ED1B6D">
        <w:rPr>
          <w:rFonts w:cstheme="minorHAnsi"/>
          <w:sz w:val="24"/>
          <w:szCs w:val="24"/>
        </w:rPr>
        <w:t xml:space="preserve"> hacking of an information or computer system for finding any security vulnerabilities. </w:t>
      </w:r>
      <w:r w:rsidR="009D7F7B" w:rsidRPr="00ED1B6D">
        <w:rPr>
          <w:rFonts w:cstheme="minorHAnsi"/>
          <w:sz w:val="24"/>
          <w:szCs w:val="24"/>
        </w:rPr>
        <w:t>Unauthorized</w:t>
      </w:r>
      <w:r w:rsidR="003D5D41" w:rsidRPr="00ED1B6D">
        <w:rPr>
          <w:rFonts w:cstheme="minorHAnsi"/>
          <w:sz w:val="24"/>
          <w:szCs w:val="24"/>
        </w:rPr>
        <w:t xml:space="preserve"> hacking of information or computer system is criminalized.</w:t>
      </w:r>
    </w:p>
    <w:p w14:paraId="3D5E9DE1" w14:textId="77777777" w:rsidR="00ED1B6D" w:rsidRPr="00ED1B6D" w:rsidRDefault="00ED1B6D" w:rsidP="00ED1B6D">
      <w:pPr>
        <w:jc w:val="both"/>
        <w:rPr>
          <w:rFonts w:cstheme="minorHAnsi"/>
          <w:sz w:val="24"/>
          <w:szCs w:val="24"/>
        </w:rPr>
      </w:pPr>
      <w:r w:rsidRPr="00ED1B6D">
        <w:rPr>
          <w:rFonts w:cstheme="minorHAnsi"/>
          <w:sz w:val="24"/>
          <w:szCs w:val="24"/>
        </w:rPr>
        <w:t>Section 164E of the Bill seeks to criminalize the transmission of intimate images without consent. Revenge porn remains a challenge in Zimbabwe</w:t>
      </w:r>
      <w:r>
        <w:rPr>
          <w:rFonts w:cstheme="minorHAnsi"/>
          <w:sz w:val="24"/>
          <w:szCs w:val="24"/>
        </w:rPr>
        <w:t xml:space="preserve"> </w:t>
      </w:r>
      <w:r w:rsidR="009D7F7B">
        <w:rPr>
          <w:rFonts w:cstheme="minorHAnsi"/>
          <w:sz w:val="24"/>
          <w:szCs w:val="24"/>
        </w:rPr>
        <w:t xml:space="preserve">where </w:t>
      </w:r>
      <w:r w:rsidR="003F61D0">
        <w:rPr>
          <w:rFonts w:cstheme="minorHAnsi"/>
          <w:sz w:val="24"/>
          <w:szCs w:val="24"/>
        </w:rPr>
        <w:t>it is commonplace</w:t>
      </w:r>
      <w:r w:rsidRPr="00ED1B6D">
        <w:rPr>
          <w:rFonts w:cstheme="minorHAnsi"/>
          <w:sz w:val="24"/>
          <w:szCs w:val="24"/>
        </w:rPr>
        <w:t>. The offence now carries a fine and or custodial sentence of up to 5 years.</w:t>
      </w:r>
    </w:p>
    <w:p w14:paraId="71DB85E5" w14:textId="77777777" w:rsidR="00ED1B6D" w:rsidRDefault="003F61D0" w:rsidP="00ED1B6D">
      <w:pPr>
        <w:jc w:val="both"/>
        <w:rPr>
          <w:rFonts w:cstheme="minorHAnsi"/>
          <w:sz w:val="24"/>
          <w:szCs w:val="24"/>
        </w:rPr>
      </w:pPr>
      <w:r>
        <w:rPr>
          <w:rFonts w:cstheme="minorHAnsi"/>
          <w:sz w:val="24"/>
          <w:szCs w:val="24"/>
        </w:rPr>
        <w:t xml:space="preserve">The amendments contained in the </w:t>
      </w:r>
      <w:r w:rsidR="00995C08">
        <w:rPr>
          <w:rFonts w:cstheme="minorHAnsi"/>
          <w:sz w:val="24"/>
          <w:szCs w:val="24"/>
        </w:rPr>
        <w:t>Bill that are a major cause for concern for freedom of expression advocates</w:t>
      </w:r>
      <w:r>
        <w:rPr>
          <w:rFonts w:cstheme="minorHAnsi"/>
          <w:sz w:val="24"/>
          <w:szCs w:val="24"/>
        </w:rPr>
        <w:t xml:space="preserve"> relate to the offences relating to electronic communications and materials. </w:t>
      </w:r>
      <w:r w:rsidR="00995C08">
        <w:rPr>
          <w:rFonts w:cstheme="minorHAnsi"/>
          <w:sz w:val="24"/>
          <w:szCs w:val="24"/>
        </w:rPr>
        <w:t>Zimbabwe has long been plagued by laws that unjustifiably seek to limit free expression and this Bill reemphasizes some of those problematic laws.</w:t>
      </w:r>
    </w:p>
    <w:p w14:paraId="0DAC9523" w14:textId="77777777" w:rsidR="00995C08" w:rsidRDefault="00995C08" w:rsidP="00ED1B6D">
      <w:pPr>
        <w:jc w:val="both"/>
        <w:rPr>
          <w:rFonts w:cstheme="minorHAnsi"/>
          <w:sz w:val="24"/>
          <w:szCs w:val="24"/>
        </w:rPr>
      </w:pPr>
      <w:r>
        <w:rPr>
          <w:rFonts w:cstheme="minorHAnsi"/>
          <w:sz w:val="24"/>
          <w:szCs w:val="24"/>
        </w:rPr>
        <w:t xml:space="preserve">Section 164 criminalizes the sending of messages that incite violence or damage to property. In the past, this charge has been used to </w:t>
      </w:r>
      <w:r w:rsidR="002B4C16">
        <w:rPr>
          <w:rFonts w:cstheme="minorHAnsi"/>
          <w:sz w:val="24"/>
          <w:szCs w:val="24"/>
        </w:rPr>
        <w:t>prosecute organizers of peaceful protests and other forms of public disobedience. The same goes for sections 164A and 164B that criminalize the sending of threatening messages and cyber-bullying and harassment respectively.</w:t>
      </w:r>
    </w:p>
    <w:p w14:paraId="30E20568" w14:textId="77777777" w:rsidR="002B4C16" w:rsidRDefault="002B4C16" w:rsidP="00ED1B6D">
      <w:pPr>
        <w:jc w:val="both"/>
        <w:rPr>
          <w:rFonts w:cstheme="minorHAnsi"/>
          <w:sz w:val="24"/>
          <w:szCs w:val="24"/>
        </w:rPr>
      </w:pPr>
      <w:r>
        <w:rPr>
          <w:rFonts w:cstheme="minorHAnsi"/>
          <w:sz w:val="24"/>
          <w:szCs w:val="24"/>
        </w:rPr>
        <w:t xml:space="preserve">This is not to say that these are useless or unnecessary provisions however, </w:t>
      </w:r>
      <w:r w:rsidR="003D3405">
        <w:rPr>
          <w:rFonts w:cstheme="minorHAnsi"/>
          <w:sz w:val="24"/>
          <w:szCs w:val="24"/>
        </w:rPr>
        <w:t>the way these Sections are widely worded makes it easy for the State and any of its security agencies to target and persecute individuals in the name of investigating crime in terms of this cyber law.</w:t>
      </w:r>
      <w:r w:rsidR="00517207">
        <w:rPr>
          <w:rFonts w:cstheme="minorHAnsi"/>
          <w:sz w:val="24"/>
          <w:szCs w:val="24"/>
        </w:rPr>
        <w:t xml:space="preserve"> The same criticism applies to Section 164C which relates to the transmission of false data messages. This provision is similar to the scandalous provisions found in the outgoing AIPPA as well as the </w:t>
      </w:r>
      <w:r w:rsidR="00517207">
        <w:rPr>
          <w:rFonts w:cstheme="minorHAnsi"/>
          <w:sz w:val="24"/>
          <w:szCs w:val="24"/>
        </w:rPr>
        <w:lastRenderedPageBreak/>
        <w:t xml:space="preserve">Criminal Law Code which were specifically aimed at silencing the Zimbabwean media </w:t>
      </w:r>
      <w:r w:rsidR="00970504">
        <w:rPr>
          <w:rFonts w:cstheme="minorHAnsi"/>
          <w:sz w:val="24"/>
          <w:szCs w:val="24"/>
        </w:rPr>
        <w:t>and any other dissenting voices that dared criticize government.</w:t>
      </w:r>
    </w:p>
    <w:p w14:paraId="69F62844" w14:textId="77777777" w:rsidR="00970504" w:rsidRPr="00ED1B6D" w:rsidRDefault="00970504" w:rsidP="00ED1B6D">
      <w:pPr>
        <w:jc w:val="both"/>
        <w:rPr>
          <w:rFonts w:cstheme="minorHAnsi"/>
          <w:sz w:val="24"/>
          <w:szCs w:val="24"/>
        </w:rPr>
      </w:pPr>
      <w:r>
        <w:rPr>
          <w:rFonts w:cstheme="minorHAnsi"/>
          <w:sz w:val="24"/>
          <w:szCs w:val="24"/>
        </w:rPr>
        <w:t>It is strongly recommended that these Sections relating to electronic communications be thoroughly revised to bring them into line with the constitutional provisions relating to free speech, media freedom as well as case law that criticized and in some instances struck down</w:t>
      </w:r>
      <w:r w:rsidR="00E0550A">
        <w:rPr>
          <w:rStyle w:val="FootnoteReference"/>
          <w:rFonts w:cstheme="minorHAnsi"/>
          <w:sz w:val="24"/>
          <w:szCs w:val="24"/>
        </w:rPr>
        <w:footnoteReference w:id="30"/>
      </w:r>
      <w:r>
        <w:rPr>
          <w:rFonts w:cstheme="minorHAnsi"/>
          <w:sz w:val="24"/>
          <w:szCs w:val="24"/>
        </w:rPr>
        <w:t xml:space="preserve"> similarly worded provisions in AIPPA and the Criminal Law Code.</w:t>
      </w:r>
    </w:p>
    <w:p w14:paraId="2373AF77" w14:textId="77777777" w:rsidR="00250591" w:rsidRPr="006361B6" w:rsidRDefault="00A20056" w:rsidP="00D439AE">
      <w:pPr>
        <w:pStyle w:val="Heading1"/>
        <w:jc w:val="both"/>
        <w:rPr>
          <w:rFonts w:asciiTheme="minorHAnsi" w:hAnsiTheme="minorHAnsi" w:cstheme="minorHAnsi"/>
          <w:szCs w:val="24"/>
        </w:rPr>
      </w:pPr>
      <w:bookmarkStart w:id="15" w:name="_Toc43374616"/>
      <w:r w:rsidRPr="00946E97">
        <w:rPr>
          <w:rFonts w:asciiTheme="minorHAnsi" w:hAnsiTheme="minorHAnsi" w:cstheme="minorHAnsi"/>
          <w:szCs w:val="24"/>
        </w:rPr>
        <w:t>CONCLUDING RECOMMENDATIONS</w:t>
      </w:r>
      <w:bookmarkEnd w:id="15"/>
    </w:p>
    <w:p w14:paraId="281F3E40" w14:textId="77777777" w:rsidR="00813079" w:rsidRDefault="00813079" w:rsidP="00D439AE">
      <w:pPr>
        <w:jc w:val="both"/>
        <w:rPr>
          <w:rFonts w:cstheme="minorHAnsi"/>
          <w:b/>
          <w:i/>
          <w:sz w:val="24"/>
          <w:szCs w:val="24"/>
        </w:rPr>
      </w:pPr>
      <w:r>
        <w:rPr>
          <w:rFonts w:cstheme="minorHAnsi"/>
          <w:b/>
          <w:i/>
          <w:sz w:val="24"/>
          <w:szCs w:val="24"/>
        </w:rPr>
        <w:t xml:space="preserve">Definitions </w:t>
      </w:r>
    </w:p>
    <w:p w14:paraId="51A3E4CE" w14:textId="77777777" w:rsidR="00813079" w:rsidRPr="00813079" w:rsidRDefault="00813079" w:rsidP="00D439AE">
      <w:pPr>
        <w:jc w:val="both"/>
        <w:rPr>
          <w:rFonts w:cstheme="minorHAnsi"/>
          <w:iCs/>
          <w:sz w:val="24"/>
          <w:szCs w:val="24"/>
        </w:rPr>
      </w:pPr>
      <w:r w:rsidRPr="00813079">
        <w:rPr>
          <w:rFonts w:cstheme="minorHAnsi"/>
          <w:iCs/>
          <w:sz w:val="24"/>
          <w:szCs w:val="24"/>
        </w:rPr>
        <w:t>Critical definitions and terms that are required for enhanced privacy and data protection are missing. These include anonymization or pseudonymization. Anonymization is modification of personal data resulting in no connection of data with an individual.</w:t>
      </w:r>
      <w:r w:rsidRPr="00813079">
        <w:rPr>
          <w:rFonts w:cstheme="minorHAnsi"/>
          <w:iCs/>
          <w:sz w:val="24"/>
          <w:szCs w:val="24"/>
          <w:vertAlign w:val="superscript"/>
        </w:rPr>
        <w:footnoteReference w:id="31"/>
      </w:r>
      <w:r w:rsidRPr="00813079">
        <w:rPr>
          <w:rFonts w:cstheme="minorHAnsi"/>
          <w:iCs/>
          <w:sz w:val="24"/>
          <w:szCs w:val="24"/>
        </w:rPr>
        <w:t xml:space="preserve"> </w:t>
      </w:r>
      <w:r w:rsidR="00250591">
        <w:rPr>
          <w:rFonts w:cstheme="minorHAnsi"/>
          <w:iCs/>
          <w:sz w:val="24"/>
          <w:szCs w:val="24"/>
        </w:rPr>
        <w:t>Admittedly, t</w:t>
      </w:r>
      <w:r w:rsidR="00250591" w:rsidRPr="00813079">
        <w:rPr>
          <w:rFonts w:cstheme="minorHAnsi"/>
          <w:iCs/>
          <w:sz w:val="24"/>
          <w:szCs w:val="24"/>
        </w:rPr>
        <w:t xml:space="preserve">he bar for implementation is high, </w:t>
      </w:r>
      <w:r w:rsidR="00250591">
        <w:rPr>
          <w:rFonts w:cstheme="minorHAnsi"/>
          <w:iCs/>
          <w:sz w:val="24"/>
          <w:szCs w:val="24"/>
        </w:rPr>
        <w:t xml:space="preserve">for anonymization </w:t>
      </w:r>
      <w:r w:rsidR="00250591" w:rsidRPr="00813079">
        <w:rPr>
          <w:rFonts w:cstheme="minorHAnsi"/>
          <w:iCs/>
          <w:sz w:val="24"/>
          <w:szCs w:val="24"/>
        </w:rPr>
        <w:t>but necessary that it is included in the Bill.</w:t>
      </w:r>
    </w:p>
    <w:p w14:paraId="178D9E96" w14:textId="77777777" w:rsidR="00813079" w:rsidRPr="00813079" w:rsidRDefault="00813079" w:rsidP="00D439AE">
      <w:pPr>
        <w:jc w:val="both"/>
        <w:rPr>
          <w:rFonts w:cstheme="minorHAnsi"/>
          <w:iCs/>
          <w:sz w:val="24"/>
          <w:szCs w:val="24"/>
        </w:rPr>
      </w:pPr>
      <w:r w:rsidRPr="00813079">
        <w:rPr>
          <w:rFonts w:cstheme="minorHAnsi"/>
          <w:iCs/>
          <w:sz w:val="24"/>
          <w:szCs w:val="24"/>
        </w:rPr>
        <w:t xml:space="preserve">Article 4(5) of the </w:t>
      </w:r>
      <w:r w:rsidR="00250591">
        <w:rPr>
          <w:rFonts w:cstheme="minorHAnsi"/>
          <w:iCs/>
          <w:sz w:val="24"/>
          <w:szCs w:val="24"/>
        </w:rPr>
        <w:t xml:space="preserve">GDPR </w:t>
      </w:r>
      <w:r w:rsidRPr="00813079">
        <w:rPr>
          <w:rFonts w:cstheme="minorHAnsi"/>
          <w:iCs/>
          <w:sz w:val="24"/>
          <w:szCs w:val="24"/>
        </w:rPr>
        <w:t xml:space="preserve">defines </w:t>
      </w:r>
      <w:bookmarkStart w:id="16" w:name="_Hlk42198246"/>
      <w:r w:rsidRPr="00813079">
        <w:rPr>
          <w:rFonts w:cstheme="minorHAnsi"/>
          <w:iCs/>
          <w:sz w:val="24"/>
          <w:szCs w:val="24"/>
        </w:rPr>
        <w:t>pseudonymization</w:t>
      </w:r>
      <w:bookmarkEnd w:id="16"/>
      <w:r w:rsidRPr="00813079">
        <w:rPr>
          <w:rFonts w:cstheme="minorHAnsi"/>
          <w:iCs/>
          <w:sz w:val="24"/>
          <w:szCs w:val="24"/>
        </w:rPr>
        <w:t xml:space="preserve"> as “the processing of personal data in such a way that the data can no longer be attributed to a specific data subject without the use of additional information.” Once the data is pseudonymous, it is possible to use that data for other purposes. The data should not be capable of re-identification which is a risk for users.</w:t>
      </w:r>
      <w:r w:rsidRPr="00813079">
        <w:rPr>
          <w:rFonts w:cstheme="minorHAnsi"/>
          <w:iCs/>
          <w:sz w:val="24"/>
          <w:szCs w:val="24"/>
          <w:vertAlign w:val="superscript"/>
        </w:rPr>
        <w:footnoteReference w:id="32"/>
      </w:r>
      <w:r w:rsidRPr="00813079">
        <w:rPr>
          <w:rFonts w:cstheme="minorHAnsi"/>
          <w:iCs/>
          <w:sz w:val="24"/>
          <w:szCs w:val="24"/>
        </w:rPr>
        <w:t xml:space="preserve"> This might be necessary for research purposes, provision of public services or other public goods without breaching data subject rights. The use of anonymization and pseudonymization enables stronger privacy protection and safeguards. These standards can </w:t>
      </w:r>
      <w:r w:rsidR="00250591">
        <w:rPr>
          <w:rFonts w:cstheme="minorHAnsi"/>
          <w:iCs/>
          <w:sz w:val="24"/>
          <w:szCs w:val="24"/>
        </w:rPr>
        <w:t xml:space="preserve">be </w:t>
      </w:r>
      <w:r w:rsidRPr="00813079">
        <w:rPr>
          <w:rFonts w:cstheme="minorHAnsi"/>
          <w:iCs/>
          <w:sz w:val="24"/>
          <w:szCs w:val="24"/>
        </w:rPr>
        <w:t>used for data not necessary to be retained, and if a breach occurs, reduced harm will be suffered.</w:t>
      </w:r>
      <w:r w:rsidRPr="00813079">
        <w:rPr>
          <w:rFonts w:cstheme="minorHAnsi"/>
          <w:iCs/>
          <w:sz w:val="24"/>
          <w:szCs w:val="24"/>
          <w:vertAlign w:val="superscript"/>
        </w:rPr>
        <w:footnoteReference w:id="33"/>
      </w:r>
    </w:p>
    <w:p w14:paraId="2F099B9D" w14:textId="77777777" w:rsidR="00813079" w:rsidRPr="00C777D8" w:rsidRDefault="00813079" w:rsidP="00D439AE">
      <w:pPr>
        <w:jc w:val="both"/>
        <w:rPr>
          <w:rFonts w:cstheme="minorHAnsi"/>
          <w:iCs/>
          <w:sz w:val="24"/>
          <w:szCs w:val="24"/>
        </w:rPr>
      </w:pPr>
      <w:r w:rsidRPr="00813079">
        <w:rPr>
          <w:rFonts w:cstheme="minorHAnsi"/>
          <w:iCs/>
          <w:sz w:val="24"/>
          <w:szCs w:val="24"/>
        </w:rPr>
        <w:t>Kenya Data Protection Ac</w:t>
      </w:r>
      <w:r w:rsidR="00250591">
        <w:rPr>
          <w:rFonts w:cstheme="minorHAnsi"/>
          <w:iCs/>
          <w:sz w:val="24"/>
          <w:szCs w:val="24"/>
        </w:rPr>
        <w:t xml:space="preserve">t defines "anonymization" as </w:t>
      </w:r>
      <w:r w:rsidRPr="00813079">
        <w:rPr>
          <w:rFonts w:cstheme="minorHAnsi"/>
          <w:iCs/>
          <w:sz w:val="24"/>
          <w:szCs w:val="24"/>
        </w:rPr>
        <w:t>the removal of personal identifiers from personal data so that the data subject is no longer identifiable.</w:t>
      </w:r>
      <w:r w:rsidR="00C777D8">
        <w:rPr>
          <w:rFonts w:cstheme="minorHAnsi"/>
          <w:iCs/>
          <w:sz w:val="24"/>
          <w:szCs w:val="24"/>
        </w:rPr>
        <w:t xml:space="preserve"> </w:t>
      </w:r>
      <w:r w:rsidRPr="00813079">
        <w:rPr>
          <w:rFonts w:cstheme="minorHAnsi"/>
          <w:iCs/>
          <w:sz w:val="24"/>
          <w:szCs w:val="24"/>
        </w:rPr>
        <w:t>South Africa uses ‘‘de-identification’’ and “re-identification” as concepts for removal personal identification information and the ability to reintroduce them again making it possible</w:t>
      </w:r>
      <w:r w:rsidR="00E61E65">
        <w:rPr>
          <w:rFonts w:cstheme="minorHAnsi"/>
          <w:iCs/>
          <w:sz w:val="24"/>
          <w:szCs w:val="24"/>
        </w:rPr>
        <w:t xml:space="preserve"> to identify the data subject. </w:t>
      </w:r>
      <w:r w:rsidR="00AC4728">
        <w:rPr>
          <w:rFonts w:cstheme="minorHAnsi"/>
          <w:iCs/>
          <w:sz w:val="24"/>
          <w:szCs w:val="24"/>
        </w:rPr>
        <w:t xml:space="preserve">South Africa uses </w:t>
      </w:r>
      <w:r w:rsidRPr="00813079">
        <w:rPr>
          <w:rFonts w:cstheme="minorHAnsi"/>
          <w:iCs/>
          <w:sz w:val="24"/>
          <w:szCs w:val="24"/>
        </w:rPr>
        <w:t xml:space="preserve">de-identification as deleting any information that—(a) identifies the data subject; can be used or manipulated by a reasonably foreseeable method to identify the data subject; or (c) can be linked by a reasonably foreseeable method to other information that identifies the data subject. </w:t>
      </w:r>
    </w:p>
    <w:p w14:paraId="1EA39594" w14:textId="77777777" w:rsidR="003F6DC9" w:rsidRPr="00946E97" w:rsidRDefault="003F6DC9" w:rsidP="00D439AE">
      <w:pPr>
        <w:jc w:val="both"/>
        <w:rPr>
          <w:rFonts w:cstheme="minorHAnsi"/>
          <w:b/>
          <w:i/>
          <w:sz w:val="24"/>
          <w:szCs w:val="24"/>
        </w:rPr>
      </w:pPr>
      <w:r w:rsidRPr="00946E97">
        <w:rPr>
          <w:rFonts w:cstheme="minorHAnsi"/>
          <w:b/>
          <w:i/>
          <w:sz w:val="24"/>
          <w:szCs w:val="24"/>
        </w:rPr>
        <w:lastRenderedPageBreak/>
        <w:t>Other Data Related Laws</w:t>
      </w:r>
    </w:p>
    <w:p w14:paraId="04AE0372" w14:textId="77777777" w:rsidR="00BA1A5A" w:rsidRPr="00946E97" w:rsidRDefault="003F6DC9" w:rsidP="00D439AE">
      <w:pPr>
        <w:jc w:val="both"/>
        <w:rPr>
          <w:rFonts w:cstheme="minorHAnsi"/>
          <w:sz w:val="24"/>
          <w:szCs w:val="24"/>
        </w:rPr>
      </w:pPr>
      <w:r w:rsidRPr="00946E97">
        <w:rPr>
          <w:rFonts w:cstheme="minorHAnsi"/>
          <w:sz w:val="24"/>
          <w:szCs w:val="24"/>
        </w:rPr>
        <w:t>The Bill has implications for other laws</w:t>
      </w:r>
      <w:r w:rsidR="003D2F94">
        <w:rPr>
          <w:rFonts w:cstheme="minorHAnsi"/>
          <w:sz w:val="24"/>
          <w:szCs w:val="24"/>
        </w:rPr>
        <w:t xml:space="preserve"> and </w:t>
      </w:r>
      <w:r w:rsidR="00BA1A5A">
        <w:rPr>
          <w:rFonts w:cstheme="minorHAnsi"/>
          <w:sz w:val="24"/>
          <w:szCs w:val="24"/>
        </w:rPr>
        <w:t>policies</w:t>
      </w:r>
      <w:r w:rsidRPr="00946E97">
        <w:rPr>
          <w:rFonts w:cstheme="minorHAnsi"/>
          <w:sz w:val="24"/>
          <w:szCs w:val="24"/>
        </w:rPr>
        <w:t xml:space="preserve"> that relates to different industries or areas that have in the past processed or continue to process data. Parliament must conduct a legal analysis of some of the laws that will be impacted by this Bill. For example, National Registry laws that relate to national identity management, registration or in the financial instruments such as the Banking Act or credit bureau policies are relevant</w:t>
      </w:r>
      <w:r w:rsidR="00BA1A5A">
        <w:rPr>
          <w:rFonts w:cstheme="minorHAnsi"/>
          <w:sz w:val="24"/>
          <w:szCs w:val="24"/>
        </w:rPr>
        <w:t xml:space="preserve"> or Health related laws for medical and insurance sectors</w:t>
      </w:r>
      <w:r w:rsidRPr="00946E97">
        <w:rPr>
          <w:rFonts w:cstheme="minorHAnsi"/>
          <w:sz w:val="24"/>
          <w:szCs w:val="24"/>
        </w:rPr>
        <w:t xml:space="preserve">. </w:t>
      </w:r>
      <w:r w:rsidR="00BA1A5A" w:rsidRPr="00BA1A5A">
        <w:rPr>
          <w:rFonts w:cstheme="minorHAnsi"/>
          <w:sz w:val="24"/>
          <w:szCs w:val="24"/>
        </w:rPr>
        <w:t xml:space="preserve">The proposed Bill has significant implications for public and private actors. Compliance costs and processes will be considerably expensive, for human resources, technical capacities. Public and private institutions will require significant time to comply </w:t>
      </w:r>
      <w:r w:rsidR="00BA1A5A">
        <w:rPr>
          <w:rFonts w:cstheme="minorHAnsi"/>
          <w:sz w:val="24"/>
          <w:szCs w:val="24"/>
        </w:rPr>
        <w:t>w</w:t>
      </w:r>
      <w:r w:rsidR="00BA1A5A" w:rsidRPr="00BA1A5A">
        <w:rPr>
          <w:rFonts w:cstheme="minorHAnsi"/>
          <w:sz w:val="24"/>
          <w:szCs w:val="24"/>
        </w:rPr>
        <w:t xml:space="preserve">ith this Bill. </w:t>
      </w:r>
    </w:p>
    <w:p w14:paraId="22C6D421" w14:textId="77777777" w:rsidR="003F6DC9" w:rsidRPr="00946E97" w:rsidRDefault="003F6DC9" w:rsidP="00D439AE">
      <w:pPr>
        <w:jc w:val="both"/>
        <w:rPr>
          <w:rFonts w:cstheme="minorHAnsi"/>
          <w:sz w:val="24"/>
          <w:szCs w:val="24"/>
        </w:rPr>
      </w:pPr>
      <w:r w:rsidRPr="00946E97">
        <w:rPr>
          <w:rFonts w:cstheme="minorHAnsi"/>
          <w:b/>
          <w:i/>
          <w:sz w:val="24"/>
          <w:szCs w:val="24"/>
        </w:rPr>
        <w:t>General Presentation</w:t>
      </w:r>
    </w:p>
    <w:p w14:paraId="40C4B3CE" w14:textId="77777777" w:rsidR="003F6DC9" w:rsidRPr="000051D5" w:rsidRDefault="003F6DC9" w:rsidP="00D439AE">
      <w:pPr>
        <w:jc w:val="both"/>
        <w:rPr>
          <w:rFonts w:cstheme="minorHAnsi"/>
          <w:iCs/>
          <w:sz w:val="24"/>
          <w:szCs w:val="24"/>
        </w:rPr>
      </w:pPr>
      <w:r w:rsidRPr="00946E97">
        <w:rPr>
          <w:rFonts w:cstheme="minorHAnsi"/>
          <w:sz w:val="24"/>
          <w:szCs w:val="24"/>
        </w:rPr>
        <w:t xml:space="preserve">The Bill is drafted in a very complicated manner. Several sections could benefit from simplification and clearer drafting and language. The law is supposed to be accessible, readable and easily understood, especially if it contains fundamental rights and freedoms. Unfortunately, this Bill read against comparative laws in the region, and beyond is drafted in a confusing and tortuous manner. The drafters’ intention will evade the legislators. </w:t>
      </w:r>
      <w:r w:rsidR="00632D51">
        <w:rPr>
          <w:rFonts w:cstheme="minorHAnsi"/>
          <w:sz w:val="24"/>
          <w:szCs w:val="24"/>
        </w:rPr>
        <w:t xml:space="preserve">For example </w:t>
      </w:r>
      <w:r w:rsidR="00632D51">
        <w:rPr>
          <w:rFonts w:cstheme="minorHAnsi"/>
          <w:iCs/>
          <w:sz w:val="24"/>
          <w:szCs w:val="24"/>
        </w:rPr>
        <w:t xml:space="preserve">the </w:t>
      </w:r>
      <w:r w:rsidR="00632D51" w:rsidRPr="00946E97">
        <w:rPr>
          <w:rFonts w:cstheme="minorHAnsi"/>
          <w:iCs/>
          <w:sz w:val="24"/>
          <w:szCs w:val="24"/>
        </w:rPr>
        <w:t>Bill</w:t>
      </w:r>
      <w:r w:rsidR="00632D51">
        <w:rPr>
          <w:rFonts w:cstheme="minorHAnsi"/>
          <w:iCs/>
          <w:sz w:val="24"/>
          <w:szCs w:val="24"/>
        </w:rPr>
        <w:t xml:space="preserve">’s application under s </w:t>
      </w:r>
      <w:r w:rsidR="00632D51" w:rsidRPr="00946E97">
        <w:rPr>
          <w:rFonts w:cstheme="minorHAnsi"/>
          <w:iCs/>
          <w:sz w:val="24"/>
          <w:szCs w:val="24"/>
        </w:rPr>
        <w:t xml:space="preserve">4 (2) is </w:t>
      </w:r>
      <w:r w:rsidR="00632D51">
        <w:rPr>
          <w:rFonts w:cstheme="minorHAnsi"/>
          <w:iCs/>
          <w:sz w:val="24"/>
          <w:szCs w:val="24"/>
        </w:rPr>
        <w:t xml:space="preserve">drafted in a complicated manner. It will benefit from redrafting, and simplification. </w:t>
      </w:r>
      <w:r w:rsidR="000051D5">
        <w:rPr>
          <w:rFonts w:cstheme="minorHAnsi"/>
          <w:iCs/>
          <w:sz w:val="24"/>
          <w:szCs w:val="24"/>
        </w:rPr>
        <w:t>I</w:t>
      </w:r>
      <w:r w:rsidR="00632D51">
        <w:rPr>
          <w:rFonts w:cstheme="minorHAnsi"/>
          <w:iCs/>
          <w:sz w:val="24"/>
          <w:szCs w:val="24"/>
        </w:rPr>
        <w:t>t could read</w:t>
      </w:r>
      <w:r w:rsidR="00632D51" w:rsidRPr="00946E97">
        <w:rPr>
          <w:rFonts w:cstheme="minorHAnsi"/>
          <w:iCs/>
          <w:sz w:val="24"/>
          <w:szCs w:val="24"/>
        </w:rPr>
        <w:t xml:space="preserve"> </w:t>
      </w:r>
      <w:r w:rsidR="00632D51">
        <w:rPr>
          <w:rFonts w:cstheme="minorHAnsi"/>
          <w:iCs/>
          <w:sz w:val="24"/>
          <w:szCs w:val="24"/>
        </w:rPr>
        <w:t>“</w:t>
      </w:r>
      <w:r w:rsidR="00632D51" w:rsidRPr="00946E97">
        <w:rPr>
          <w:rFonts w:cstheme="minorHAnsi"/>
          <w:iCs/>
          <w:sz w:val="24"/>
          <w:szCs w:val="24"/>
        </w:rPr>
        <w:t xml:space="preserve">a data controller </w:t>
      </w:r>
      <w:r w:rsidR="00632D51" w:rsidRPr="00946E97">
        <w:rPr>
          <w:rFonts w:cstheme="minorHAnsi"/>
          <w:sz w:val="24"/>
          <w:szCs w:val="24"/>
        </w:rPr>
        <w:t>who (i) is established or ordinarily resident in Zimbabwe and processes personal data while in Zimbabwe; or (ii) not established or ordinarily resident in Zimbabwe, but processing personal data of data subjects located in Zimbabwe</w:t>
      </w:r>
      <w:r w:rsidR="00632D51">
        <w:rPr>
          <w:rFonts w:cstheme="minorHAnsi"/>
          <w:sz w:val="24"/>
          <w:szCs w:val="24"/>
        </w:rPr>
        <w:t>”</w:t>
      </w:r>
      <w:r w:rsidR="00632D51" w:rsidRPr="00946E97">
        <w:rPr>
          <w:rFonts w:cstheme="minorHAnsi"/>
          <w:sz w:val="24"/>
          <w:szCs w:val="24"/>
        </w:rPr>
        <w:t>.</w:t>
      </w:r>
      <w:r w:rsidR="00632D51">
        <w:rPr>
          <w:rFonts w:cstheme="minorHAnsi"/>
          <w:sz w:val="24"/>
          <w:szCs w:val="24"/>
        </w:rPr>
        <w:t xml:space="preserve"> Clear provisions make compliance easier.</w:t>
      </w:r>
    </w:p>
    <w:p w14:paraId="5532BA0E" w14:textId="77777777" w:rsidR="000051D5" w:rsidRPr="00946E97" w:rsidRDefault="000051D5" w:rsidP="00D439AE">
      <w:pPr>
        <w:jc w:val="both"/>
        <w:rPr>
          <w:rFonts w:cstheme="minorHAnsi"/>
          <w:b/>
          <w:i/>
          <w:sz w:val="24"/>
          <w:szCs w:val="24"/>
        </w:rPr>
      </w:pPr>
      <w:r w:rsidRPr="00946E97">
        <w:rPr>
          <w:rFonts w:cstheme="minorHAnsi"/>
          <w:b/>
          <w:i/>
          <w:sz w:val="24"/>
          <w:szCs w:val="24"/>
        </w:rPr>
        <w:t>Transition and Commencement</w:t>
      </w:r>
    </w:p>
    <w:p w14:paraId="16188B39" w14:textId="77777777" w:rsidR="000051D5" w:rsidRDefault="000051D5" w:rsidP="00D439AE">
      <w:pPr>
        <w:jc w:val="both"/>
        <w:rPr>
          <w:rFonts w:cstheme="minorHAnsi"/>
          <w:sz w:val="24"/>
          <w:szCs w:val="24"/>
          <w:lang w:val="en-ZA"/>
        </w:rPr>
      </w:pPr>
      <w:r w:rsidRPr="00946E97">
        <w:rPr>
          <w:rFonts w:cstheme="minorHAnsi"/>
          <w:sz w:val="24"/>
          <w:szCs w:val="24"/>
          <w:lang w:val="en-ZA"/>
        </w:rPr>
        <w:t xml:space="preserve">The Bill should clearly state the transition period and not leave the commencement date being set through gazetting. A longer transition period will enable compliance to be achieved. Arguments are that there will be a vacuum again if there are delays. This is not necessarily the case. If the Bill continues as an omnibus, then sections on cybercrimes can come into effect immediately upon gazetting, as they are amending an existing law. The newer provisions of data protection should be accorded an additional 6-12 months before commencement. This will allow the Authority to be established, rules and regulations developed, and public and private institutions to regularize their affairs. The relevant ministry working with stakeholders must conduct a regulatory impact assessment and appreciate the actual cost for compliance. </w:t>
      </w:r>
    </w:p>
    <w:p w14:paraId="46A1BEE8" w14:textId="77777777" w:rsidR="00BA1A5A" w:rsidRDefault="00BA1A5A" w:rsidP="00D439AE">
      <w:pPr>
        <w:jc w:val="both"/>
        <w:rPr>
          <w:rFonts w:cstheme="minorHAnsi"/>
          <w:sz w:val="24"/>
          <w:szCs w:val="24"/>
          <w:lang w:val="en-ZA"/>
        </w:rPr>
      </w:pPr>
    </w:p>
    <w:p w14:paraId="4625A2C6" w14:textId="77777777" w:rsidR="008B63EF" w:rsidRDefault="008B63EF" w:rsidP="00D439AE">
      <w:pPr>
        <w:jc w:val="both"/>
        <w:rPr>
          <w:rFonts w:cstheme="minorHAnsi"/>
          <w:sz w:val="24"/>
          <w:szCs w:val="24"/>
          <w:lang w:val="en-ZA"/>
        </w:rPr>
      </w:pPr>
    </w:p>
    <w:p w14:paraId="2CE24D43" w14:textId="77777777" w:rsidR="00BA1A5A" w:rsidRPr="00946E97" w:rsidRDefault="00BA1A5A" w:rsidP="00D439AE">
      <w:pPr>
        <w:jc w:val="both"/>
        <w:rPr>
          <w:rFonts w:cstheme="minorHAnsi"/>
          <w:sz w:val="24"/>
          <w:szCs w:val="24"/>
          <w:lang w:val="en-ZA"/>
        </w:rPr>
      </w:pPr>
    </w:p>
    <w:p w14:paraId="00BADA30" w14:textId="77777777" w:rsidR="007774DA" w:rsidRPr="00946E97" w:rsidRDefault="007774DA" w:rsidP="00D439AE">
      <w:pPr>
        <w:jc w:val="both"/>
        <w:rPr>
          <w:rFonts w:cstheme="minorHAnsi"/>
          <w:sz w:val="24"/>
          <w:szCs w:val="24"/>
          <w:lang w:val="en-ZA"/>
        </w:rPr>
      </w:pPr>
    </w:p>
    <w:sectPr w:rsidR="007774DA" w:rsidRPr="00946E97">
      <w:footerReference w:type="default" r:id="rId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C92616" w16cid:durableId="2295FF0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463E7" w14:textId="77777777" w:rsidR="00841EC8" w:rsidRDefault="00841EC8" w:rsidP="002727AB">
      <w:pPr>
        <w:spacing w:after="0" w:line="240" w:lineRule="auto"/>
      </w:pPr>
      <w:r>
        <w:separator/>
      </w:r>
    </w:p>
  </w:endnote>
  <w:endnote w:type="continuationSeparator" w:id="0">
    <w:p w14:paraId="7BCBABCB" w14:textId="77777777" w:rsidR="00841EC8" w:rsidRDefault="00841EC8" w:rsidP="00272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0901293"/>
      <w:docPartObj>
        <w:docPartGallery w:val="Page Numbers (Bottom of Page)"/>
        <w:docPartUnique/>
      </w:docPartObj>
    </w:sdtPr>
    <w:sdtEndPr>
      <w:rPr>
        <w:noProof/>
      </w:rPr>
    </w:sdtEndPr>
    <w:sdtContent>
      <w:p w14:paraId="0240F69E" w14:textId="77777777" w:rsidR="00D905FD" w:rsidRDefault="00D905FD">
        <w:pPr>
          <w:pStyle w:val="Footer"/>
          <w:jc w:val="right"/>
        </w:pPr>
        <w:r>
          <w:fldChar w:fldCharType="begin"/>
        </w:r>
        <w:r>
          <w:instrText xml:space="preserve"> PAGE   \* MERGEFORMAT </w:instrText>
        </w:r>
        <w:r>
          <w:fldChar w:fldCharType="separate"/>
        </w:r>
        <w:r w:rsidR="00D360C0">
          <w:rPr>
            <w:noProof/>
          </w:rPr>
          <w:t>21</w:t>
        </w:r>
        <w:r>
          <w:rPr>
            <w:noProof/>
          </w:rPr>
          <w:fldChar w:fldCharType="end"/>
        </w:r>
      </w:p>
    </w:sdtContent>
  </w:sdt>
  <w:p w14:paraId="1141C52C" w14:textId="77777777" w:rsidR="00D905FD" w:rsidRDefault="00D905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6A48D" w14:textId="77777777" w:rsidR="00841EC8" w:rsidRDefault="00841EC8" w:rsidP="002727AB">
      <w:pPr>
        <w:spacing w:after="0" w:line="240" w:lineRule="auto"/>
      </w:pPr>
      <w:r>
        <w:separator/>
      </w:r>
    </w:p>
  </w:footnote>
  <w:footnote w:type="continuationSeparator" w:id="0">
    <w:p w14:paraId="2D40283F" w14:textId="77777777" w:rsidR="00841EC8" w:rsidRDefault="00841EC8" w:rsidP="002727AB">
      <w:pPr>
        <w:spacing w:after="0" w:line="240" w:lineRule="auto"/>
      </w:pPr>
      <w:r>
        <w:continuationSeparator/>
      </w:r>
    </w:p>
  </w:footnote>
  <w:footnote w:id="1">
    <w:p w14:paraId="74B1BF4D" w14:textId="77777777" w:rsidR="00D905FD" w:rsidRDefault="00D905FD">
      <w:pPr>
        <w:pStyle w:val="FootnoteText"/>
      </w:pPr>
      <w:r>
        <w:rPr>
          <w:rStyle w:val="FootnoteReference"/>
        </w:rPr>
        <w:footnoteRef/>
      </w:r>
      <w:r>
        <w:t xml:space="preserve"> In February 2019 Cabinet approved the repeal of AIPPA and its replacement with </w:t>
      </w:r>
    </w:p>
  </w:footnote>
  <w:footnote w:id="2">
    <w:p w14:paraId="6204EB00" w14:textId="77777777" w:rsidR="00D905FD" w:rsidRPr="005B6417" w:rsidRDefault="00D905FD" w:rsidP="002727AB">
      <w:pPr>
        <w:pStyle w:val="FootnoteText"/>
        <w:rPr>
          <w:rFonts w:cstheme="minorHAnsi"/>
        </w:rPr>
      </w:pPr>
      <w:r w:rsidRPr="005B6417">
        <w:rPr>
          <w:rStyle w:val="FootnoteReference"/>
          <w:rFonts w:cstheme="minorHAnsi"/>
        </w:rPr>
        <w:footnoteRef/>
      </w:r>
      <w:r w:rsidRPr="005B6417">
        <w:rPr>
          <w:rFonts w:cstheme="minorHAnsi"/>
        </w:rPr>
        <w:t xml:space="preserve"> Justice A Mavedzenge, Accessing the National Voters’ roll through the Right of access to information in Zimbabwe, Zimbabwe Rule of Law Journal Volume 1, Issue 1 February 2017</w:t>
      </w:r>
    </w:p>
  </w:footnote>
  <w:footnote w:id="3">
    <w:p w14:paraId="71B84CEB" w14:textId="77777777" w:rsidR="00D905FD" w:rsidRPr="005B6417" w:rsidRDefault="00D905FD" w:rsidP="00E835FE">
      <w:pPr>
        <w:pStyle w:val="FootnoteText"/>
        <w:rPr>
          <w:rFonts w:cstheme="minorHAnsi"/>
        </w:rPr>
      </w:pPr>
      <w:r w:rsidRPr="005B6417">
        <w:rPr>
          <w:rStyle w:val="FootnoteReference"/>
          <w:rFonts w:cstheme="minorHAnsi"/>
        </w:rPr>
        <w:footnoteRef/>
      </w:r>
      <w:r w:rsidRPr="005B6417">
        <w:rPr>
          <w:rFonts w:cstheme="minorHAnsi"/>
        </w:rPr>
        <w:t xml:space="preserve"> Kenya </w:t>
      </w:r>
      <w:r w:rsidRPr="005B6417">
        <w:rPr>
          <w:rFonts w:cstheme="minorHAnsi"/>
          <w:iCs/>
        </w:rPr>
        <w:t>Data Protection Act</w:t>
      </w:r>
      <w:r w:rsidRPr="005B6417">
        <w:rPr>
          <w:rFonts w:cstheme="minorHAnsi"/>
        </w:rPr>
        <w:t xml:space="preserve"> (2019) "consent" means any manifestation of express, unequivocal, free, specific and informed indication of the data subject's wishes by a statement or by a clear affirmative action, signifying agreement to the processing of personal data relating to the data subject. South Africa Protection of Personal Information Act (2013) ‘‘consent’’ means any voluntary, specific and informed expression of will</w:t>
      </w:r>
    </w:p>
    <w:p w14:paraId="466BBF1E" w14:textId="77777777" w:rsidR="00D905FD" w:rsidRPr="005B6417" w:rsidRDefault="00D905FD" w:rsidP="00E835FE">
      <w:pPr>
        <w:pStyle w:val="FootnoteText"/>
        <w:rPr>
          <w:rFonts w:cstheme="minorHAnsi"/>
        </w:rPr>
      </w:pPr>
      <w:r w:rsidRPr="005B6417">
        <w:rPr>
          <w:rFonts w:cstheme="minorHAnsi"/>
        </w:rPr>
        <w:t>in terms of which permission is given for the processing of personal information</w:t>
      </w:r>
    </w:p>
  </w:footnote>
  <w:footnote w:id="4">
    <w:p w14:paraId="2E8FC388" w14:textId="77777777" w:rsidR="00D905FD" w:rsidRPr="005B6417" w:rsidRDefault="00D905FD">
      <w:pPr>
        <w:pStyle w:val="FootnoteText"/>
        <w:rPr>
          <w:rFonts w:cstheme="minorHAnsi"/>
          <w:lang w:val="en-ZA"/>
        </w:rPr>
      </w:pPr>
      <w:r w:rsidRPr="005B6417">
        <w:rPr>
          <w:rStyle w:val="FootnoteReference"/>
          <w:rFonts w:cstheme="minorHAnsi"/>
        </w:rPr>
        <w:footnoteRef/>
      </w:r>
      <w:r w:rsidRPr="005B6417">
        <w:rPr>
          <w:rFonts w:cstheme="minorHAnsi"/>
        </w:rPr>
        <w:t xml:space="preserve"> </w:t>
      </w:r>
      <w:r w:rsidRPr="005B6417">
        <w:rPr>
          <w:rFonts w:cstheme="minorHAnsi"/>
          <w:lang w:val="en-ZA"/>
        </w:rPr>
        <w:t>Commentary on Consent under the General Data Protection Regulation</w:t>
      </w:r>
    </w:p>
  </w:footnote>
  <w:footnote w:id="5">
    <w:p w14:paraId="5C4D05E1" w14:textId="77777777" w:rsidR="00D905FD" w:rsidRPr="005B6417" w:rsidRDefault="00D905FD">
      <w:pPr>
        <w:pStyle w:val="FootnoteText"/>
        <w:rPr>
          <w:rFonts w:cstheme="minorHAnsi"/>
          <w:lang w:val="en-ZA"/>
        </w:rPr>
      </w:pPr>
      <w:r w:rsidRPr="005B6417">
        <w:rPr>
          <w:rStyle w:val="FootnoteReference"/>
          <w:rFonts w:cstheme="minorHAnsi"/>
        </w:rPr>
        <w:footnoteRef/>
      </w:r>
      <w:r w:rsidRPr="005B6417">
        <w:rPr>
          <w:rFonts w:cstheme="minorHAnsi"/>
        </w:rPr>
        <w:t xml:space="preserve"> </w:t>
      </w:r>
      <w:r w:rsidRPr="005B6417">
        <w:rPr>
          <w:rFonts w:cstheme="minorHAnsi"/>
          <w:iCs/>
        </w:rPr>
        <w:t>Similar institutions locations are not known for instance the Monitoring and Interception Communications Centre under the Interception of Communications Act (ICA).</w:t>
      </w:r>
    </w:p>
  </w:footnote>
  <w:footnote w:id="6">
    <w:p w14:paraId="11E781E7" w14:textId="77777777" w:rsidR="00D905FD" w:rsidRPr="005B6417" w:rsidRDefault="00D905FD">
      <w:pPr>
        <w:pStyle w:val="FootnoteText"/>
        <w:rPr>
          <w:rFonts w:cstheme="minorHAnsi"/>
          <w:lang w:val="en-ZA"/>
        </w:rPr>
      </w:pPr>
      <w:r w:rsidRPr="005B6417">
        <w:rPr>
          <w:rStyle w:val="FootnoteReference"/>
          <w:rFonts w:cstheme="minorHAnsi"/>
        </w:rPr>
        <w:footnoteRef/>
      </w:r>
      <w:r w:rsidRPr="005B6417">
        <w:rPr>
          <w:rFonts w:cstheme="minorHAnsi"/>
        </w:rPr>
        <w:t xml:space="preserve"> </w:t>
      </w:r>
      <w:r w:rsidRPr="005B6417">
        <w:rPr>
          <w:rFonts w:cstheme="minorHAnsi"/>
          <w:lang w:val="en-ZA"/>
        </w:rPr>
        <w:t>Oversight of money transmission providers and mobile banking providers now obtain recognition of their payment system in terms of section 3(1) of the National Payment Systems Act [Chapter 24:23], in addition to the licensing provided under Postal and Telecommunications Act of the mobile network</w:t>
      </w:r>
    </w:p>
  </w:footnote>
  <w:footnote w:id="7">
    <w:p w14:paraId="796F2360" w14:textId="77777777" w:rsidR="00D905FD" w:rsidRPr="005B6417" w:rsidRDefault="00D905FD">
      <w:pPr>
        <w:pStyle w:val="FootnoteText"/>
        <w:rPr>
          <w:rFonts w:cstheme="minorHAnsi"/>
          <w:lang w:val="en-ZA"/>
        </w:rPr>
      </w:pPr>
      <w:r w:rsidRPr="005B6417">
        <w:rPr>
          <w:rStyle w:val="FootnoteReference"/>
          <w:rFonts w:cstheme="minorHAnsi"/>
        </w:rPr>
        <w:footnoteRef/>
      </w:r>
      <w:r w:rsidRPr="005B6417">
        <w:rPr>
          <w:rFonts w:cstheme="minorHAnsi"/>
        </w:rPr>
        <w:t xml:space="preserve"> Sections 6-7 of Postal and Telecommunications Act, POTRAZ is presided over by 5-7 members appointed by the President after consultation with the Minister. The Board in consultation with the Minister appoints a Director General, who is responsible for the day to day operations of the Authority.</w:t>
      </w:r>
    </w:p>
  </w:footnote>
  <w:footnote w:id="8">
    <w:p w14:paraId="37AD1D60" w14:textId="77777777" w:rsidR="00D905FD" w:rsidRPr="005B6417" w:rsidRDefault="00D905FD">
      <w:pPr>
        <w:pStyle w:val="FootnoteText"/>
        <w:rPr>
          <w:rFonts w:cstheme="minorHAnsi"/>
          <w:lang w:val="en-ZA"/>
        </w:rPr>
      </w:pPr>
      <w:r w:rsidRPr="005B6417">
        <w:rPr>
          <w:rStyle w:val="FootnoteReference"/>
          <w:rFonts w:cstheme="minorHAnsi"/>
        </w:rPr>
        <w:footnoteRef/>
      </w:r>
      <w:r w:rsidRPr="005B6417">
        <w:rPr>
          <w:rFonts w:cstheme="minorHAnsi"/>
        </w:rPr>
        <w:t xml:space="preserve"> Kenya Data Protection Act, </w:t>
      </w:r>
      <w:r w:rsidRPr="005B6417">
        <w:rPr>
          <w:rFonts w:cstheme="minorHAnsi"/>
          <w:lang w:val="en-ZA"/>
        </w:rPr>
        <w:t xml:space="preserve">Section 7 </w:t>
      </w:r>
    </w:p>
  </w:footnote>
  <w:footnote w:id="9">
    <w:p w14:paraId="074CBD53" w14:textId="77777777" w:rsidR="00D905FD" w:rsidRPr="005B6417" w:rsidRDefault="00D905FD">
      <w:pPr>
        <w:pStyle w:val="FootnoteText"/>
        <w:rPr>
          <w:rFonts w:cstheme="minorHAnsi"/>
          <w:lang w:val="en-ZA"/>
        </w:rPr>
      </w:pPr>
      <w:r w:rsidRPr="005B6417">
        <w:rPr>
          <w:rStyle w:val="FootnoteReference"/>
          <w:rFonts w:cstheme="minorHAnsi"/>
        </w:rPr>
        <w:footnoteRef/>
      </w:r>
      <w:r w:rsidRPr="005B6417">
        <w:rPr>
          <w:rFonts w:cstheme="minorHAnsi"/>
        </w:rPr>
        <w:t xml:space="preserve"> </w:t>
      </w:r>
      <w:r w:rsidRPr="005B6417">
        <w:rPr>
          <w:rFonts w:cstheme="minorHAnsi"/>
          <w:lang w:val="en-ZA"/>
        </w:rPr>
        <w:t xml:space="preserve">Constitution of Kenya (2010) Chapter 6 on leadership integrity, </w:t>
      </w:r>
    </w:p>
  </w:footnote>
  <w:footnote w:id="10">
    <w:p w14:paraId="2607DDA4" w14:textId="77777777" w:rsidR="00D905FD" w:rsidRPr="005B6417" w:rsidRDefault="00D905FD">
      <w:pPr>
        <w:pStyle w:val="FootnoteText"/>
        <w:rPr>
          <w:rFonts w:cstheme="minorHAnsi"/>
          <w:lang w:val="en-ZA"/>
        </w:rPr>
      </w:pPr>
      <w:r w:rsidRPr="005B6417">
        <w:rPr>
          <w:rStyle w:val="FootnoteReference"/>
          <w:rFonts w:cstheme="minorHAnsi"/>
        </w:rPr>
        <w:footnoteRef/>
      </w:r>
      <w:r w:rsidRPr="005B6417">
        <w:rPr>
          <w:rFonts w:cstheme="minorHAnsi"/>
        </w:rPr>
        <w:t xml:space="preserve"> </w:t>
      </w:r>
      <w:r w:rsidRPr="005B6417">
        <w:rPr>
          <w:rFonts w:cstheme="minorHAnsi"/>
          <w:lang w:val="en-ZA"/>
        </w:rPr>
        <w:t>Constitution of Kenya (2010) section 260 of which Chapter Fifteen on Commissions and Independent Offices</w:t>
      </w:r>
    </w:p>
  </w:footnote>
  <w:footnote w:id="11">
    <w:p w14:paraId="16CE90CE" w14:textId="77777777" w:rsidR="00D905FD" w:rsidRPr="005B6417" w:rsidRDefault="00D905FD">
      <w:pPr>
        <w:pStyle w:val="FootnoteText"/>
        <w:rPr>
          <w:rFonts w:cstheme="minorHAnsi"/>
          <w:lang w:val="en-ZA"/>
        </w:rPr>
      </w:pPr>
      <w:r w:rsidRPr="005B6417">
        <w:rPr>
          <w:rStyle w:val="FootnoteReference"/>
          <w:rFonts w:cstheme="minorHAnsi"/>
        </w:rPr>
        <w:footnoteRef/>
      </w:r>
      <w:r w:rsidRPr="005B6417">
        <w:rPr>
          <w:rFonts w:cstheme="minorHAnsi"/>
        </w:rPr>
        <w:t xml:space="preserve"> Uganda Data Protection and Privacy Act section 14. Minimality. (1) A data controller or data processer shall only process the necessary or relevant personal data. (2) For the avoidance of doubt a data controller or data processer shall not process personal data which is in excess of the data which is authorised by law or required for a specific purpose.</w:t>
      </w:r>
    </w:p>
  </w:footnote>
  <w:footnote w:id="12">
    <w:p w14:paraId="0D95F978" w14:textId="77777777" w:rsidR="00D905FD" w:rsidRPr="005B6417" w:rsidRDefault="00D905FD">
      <w:pPr>
        <w:pStyle w:val="FootnoteText"/>
        <w:rPr>
          <w:rFonts w:cstheme="minorHAnsi"/>
          <w:lang w:val="en-ZA"/>
        </w:rPr>
      </w:pPr>
      <w:r w:rsidRPr="005B6417">
        <w:rPr>
          <w:rStyle w:val="FootnoteReference"/>
          <w:rFonts w:cstheme="minorHAnsi"/>
        </w:rPr>
        <w:footnoteRef/>
      </w:r>
      <w:r w:rsidRPr="005B6417">
        <w:rPr>
          <w:rFonts w:cstheme="minorHAnsi"/>
        </w:rPr>
        <w:t xml:space="preserve"> </w:t>
      </w:r>
      <w:r w:rsidRPr="005B6417">
        <w:rPr>
          <w:rFonts w:cstheme="minorHAnsi"/>
          <w:lang w:val="en-ZA"/>
        </w:rPr>
        <w:t>Longer than necessary is also subjective, some Zimbabwe laws give time period for data retention</w:t>
      </w:r>
    </w:p>
  </w:footnote>
  <w:footnote w:id="13">
    <w:p w14:paraId="4D9020C6" w14:textId="77777777" w:rsidR="00D905FD" w:rsidRPr="005B6417" w:rsidRDefault="00D905FD">
      <w:pPr>
        <w:pStyle w:val="FootnoteText"/>
        <w:rPr>
          <w:rFonts w:cstheme="minorHAnsi"/>
          <w:lang w:val="en-ZA"/>
        </w:rPr>
      </w:pPr>
      <w:r w:rsidRPr="005B6417">
        <w:rPr>
          <w:rStyle w:val="FootnoteReference"/>
          <w:rFonts w:cstheme="minorHAnsi"/>
        </w:rPr>
        <w:footnoteRef/>
      </w:r>
      <w:r w:rsidRPr="005B6417">
        <w:rPr>
          <w:rFonts w:cstheme="minorHAnsi"/>
        </w:rPr>
        <w:t xml:space="preserve"> </w:t>
      </w:r>
      <w:r w:rsidRPr="005B6417">
        <w:rPr>
          <w:rFonts w:cstheme="minorHAnsi"/>
          <w:lang w:val="en-ZA"/>
        </w:rPr>
        <w:t xml:space="preserve">See section 18 under Part VI </w:t>
      </w:r>
    </w:p>
  </w:footnote>
  <w:footnote w:id="14">
    <w:p w14:paraId="2D461DE7" w14:textId="77777777" w:rsidR="00D905FD" w:rsidRPr="005B6417" w:rsidRDefault="00D905FD" w:rsidP="009A793C">
      <w:pPr>
        <w:pStyle w:val="FootnoteText"/>
        <w:rPr>
          <w:rFonts w:cstheme="minorHAnsi"/>
        </w:rPr>
      </w:pPr>
      <w:r w:rsidRPr="005B6417">
        <w:rPr>
          <w:rStyle w:val="FootnoteReference"/>
          <w:rFonts w:cstheme="minorHAnsi"/>
        </w:rPr>
        <w:footnoteRef/>
      </w:r>
      <w:r w:rsidRPr="005B6417">
        <w:rPr>
          <w:rFonts w:cstheme="minorHAnsi"/>
        </w:rPr>
        <w:t xml:space="preserve"> Uganda Data Protection and Privacy Act section 3 (a) be accountable to the data subject for data collected, processed held or used; (b) collect and process data fairly and lawfully; (c) collect, process, use or hold adequate, relevant and not excessive or unnecessary personal data; (d) retain personal data for the period authorized by law or for which the data is required; (e) ensure quality of information collected, processed , used or held; (f) ensure transparency and participation of the data subject in the collection, processing, use and holding of the personal data; and (g) observe security safeguards in respect of the data.</w:t>
      </w:r>
    </w:p>
    <w:p w14:paraId="75F5F5D1" w14:textId="77777777" w:rsidR="00D905FD" w:rsidRPr="005B6417" w:rsidRDefault="00D905FD">
      <w:pPr>
        <w:pStyle w:val="FootnoteText"/>
        <w:rPr>
          <w:rFonts w:cstheme="minorHAnsi"/>
          <w:lang w:val="en-ZA"/>
        </w:rPr>
      </w:pPr>
    </w:p>
  </w:footnote>
  <w:footnote w:id="15">
    <w:p w14:paraId="77E43707" w14:textId="77777777" w:rsidR="00D905FD" w:rsidRPr="005B6417" w:rsidRDefault="00D905FD" w:rsidP="002B1B93">
      <w:pPr>
        <w:pStyle w:val="FootnoteText"/>
        <w:rPr>
          <w:rFonts w:cstheme="minorHAnsi"/>
          <w:lang w:val="en-ZA"/>
        </w:rPr>
      </w:pPr>
      <w:r w:rsidRPr="005B6417">
        <w:rPr>
          <w:rStyle w:val="FootnoteReference"/>
          <w:rFonts w:cstheme="minorHAnsi"/>
        </w:rPr>
        <w:footnoteRef/>
      </w:r>
      <w:r w:rsidRPr="005B6417">
        <w:rPr>
          <w:rFonts w:cstheme="minorHAnsi"/>
        </w:rPr>
        <w:t xml:space="preserve"> </w:t>
      </w:r>
      <w:r w:rsidRPr="005B6417">
        <w:rPr>
          <w:rFonts w:cstheme="minorHAnsi"/>
          <w:lang w:val="en-ZA"/>
        </w:rPr>
        <w:t>This is similar to provisions of Article 13 of the GDPR though there are several aspects not included such as when information is likely to be shared across borders</w:t>
      </w:r>
    </w:p>
  </w:footnote>
  <w:footnote w:id="16">
    <w:p w14:paraId="091FFB29" w14:textId="77777777" w:rsidR="00D905FD" w:rsidRPr="005B6417" w:rsidRDefault="00D905FD">
      <w:pPr>
        <w:pStyle w:val="FootnoteText"/>
        <w:rPr>
          <w:rFonts w:cstheme="minorHAnsi"/>
          <w:lang w:val="en-ZA"/>
        </w:rPr>
      </w:pPr>
      <w:r w:rsidRPr="005B6417">
        <w:rPr>
          <w:rStyle w:val="FootnoteReference"/>
          <w:rFonts w:cstheme="minorHAnsi"/>
        </w:rPr>
        <w:footnoteRef/>
      </w:r>
      <w:r w:rsidRPr="005B6417">
        <w:rPr>
          <w:rFonts w:cstheme="minorHAnsi"/>
        </w:rPr>
        <w:t xml:space="preserve"> </w:t>
      </w:r>
      <w:r w:rsidRPr="005B6417">
        <w:rPr>
          <w:rFonts w:cstheme="minorHAnsi"/>
          <w:lang w:val="en-ZA"/>
        </w:rPr>
        <w:t>See Article 33 of the GDPR</w:t>
      </w:r>
    </w:p>
  </w:footnote>
  <w:footnote w:id="17">
    <w:p w14:paraId="2AF311DD" w14:textId="77777777" w:rsidR="00D905FD" w:rsidRPr="005B6417" w:rsidRDefault="00D905FD">
      <w:pPr>
        <w:pStyle w:val="FootnoteText"/>
        <w:rPr>
          <w:rFonts w:cstheme="minorHAnsi"/>
          <w:lang w:val="en-ZA"/>
        </w:rPr>
      </w:pPr>
      <w:r w:rsidRPr="005B6417">
        <w:rPr>
          <w:rStyle w:val="FootnoteReference"/>
          <w:rFonts w:cstheme="minorHAnsi"/>
        </w:rPr>
        <w:footnoteRef/>
      </w:r>
      <w:r w:rsidRPr="005B6417">
        <w:rPr>
          <w:rFonts w:cstheme="minorHAnsi"/>
        </w:rPr>
        <w:t xml:space="preserve"> Section 21 (h) provides for data subject notification processing of automated data.</w:t>
      </w:r>
    </w:p>
  </w:footnote>
  <w:footnote w:id="18">
    <w:p w14:paraId="4A010714" w14:textId="77777777" w:rsidR="00D905FD" w:rsidRPr="005B6417" w:rsidRDefault="00D905FD">
      <w:pPr>
        <w:pStyle w:val="FootnoteText"/>
        <w:rPr>
          <w:rFonts w:cstheme="minorHAnsi"/>
          <w:lang w:val="en-ZA"/>
        </w:rPr>
      </w:pPr>
      <w:r w:rsidRPr="005B6417">
        <w:rPr>
          <w:rStyle w:val="FootnoteReference"/>
          <w:rFonts w:cstheme="minorHAnsi"/>
        </w:rPr>
        <w:footnoteRef/>
      </w:r>
      <w:r w:rsidRPr="005B6417">
        <w:rPr>
          <w:rFonts w:cstheme="minorHAnsi"/>
        </w:rPr>
        <w:t xml:space="preserve"> Uganda Data Protection and Privacy Act, section 23 (3) Where the Authority determines that the data collector, data processor or data controller should notify the data subject, the notification shall be made by- ( a) registered mail to the data subject's last known residential or postal address; (b) electronic mail to the data subject's last known electronic mail address; (c) placement in a prominent position on the website of the responsible party; or (d) publication in the mass media. </w:t>
      </w:r>
    </w:p>
  </w:footnote>
  <w:footnote w:id="19">
    <w:p w14:paraId="24796229" w14:textId="77777777" w:rsidR="00D905FD" w:rsidRPr="005B6417" w:rsidRDefault="00D905FD" w:rsidP="00C0653E">
      <w:pPr>
        <w:pStyle w:val="FootnoteText"/>
        <w:rPr>
          <w:rFonts w:cstheme="minorHAnsi"/>
        </w:rPr>
      </w:pPr>
      <w:r w:rsidRPr="005B6417">
        <w:rPr>
          <w:rStyle w:val="FootnoteReference"/>
          <w:rFonts w:cstheme="minorHAnsi"/>
        </w:rPr>
        <w:footnoteRef/>
      </w:r>
      <w:r w:rsidRPr="005B6417">
        <w:rPr>
          <w:rFonts w:cstheme="minorHAnsi"/>
        </w:rPr>
        <w:t xml:space="preserve"> Disproportionate effort means effort that is so labour intensive as to consume a lot of time, money and manpower resources;</w:t>
      </w:r>
    </w:p>
  </w:footnote>
  <w:footnote w:id="20">
    <w:p w14:paraId="5FB774D7" w14:textId="77777777" w:rsidR="00D905FD" w:rsidRPr="005B6417" w:rsidRDefault="00D905FD">
      <w:pPr>
        <w:pStyle w:val="FootnoteText"/>
        <w:rPr>
          <w:rFonts w:cstheme="minorHAnsi"/>
          <w:lang w:val="en-ZA"/>
        </w:rPr>
      </w:pPr>
      <w:r w:rsidRPr="005B6417">
        <w:rPr>
          <w:rStyle w:val="FootnoteReference"/>
          <w:rFonts w:cstheme="minorHAnsi"/>
        </w:rPr>
        <w:footnoteRef/>
      </w:r>
      <w:r w:rsidRPr="005B6417">
        <w:rPr>
          <w:rFonts w:cstheme="minorHAnsi"/>
        </w:rPr>
        <w:t xml:space="preserve"> </w:t>
      </w:r>
      <w:r w:rsidRPr="005B6417">
        <w:rPr>
          <w:rFonts w:cstheme="minorHAnsi"/>
          <w:lang w:val="en-ZA"/>
        </w:rPr>
        <w:t>The DPA under s 8 on functions is empowered to conduct inquiries or investigations of its own accord or at the request of data subject</w:t>
      </w:r>
    </w:p>
  </w:footnote>
  <w:footnote w:id="21">
    <w:p w14:paraId="1C0A53EB" w14:textId="77777777" w:rsidR="00D905FD" w:rsidRPr="005B6417" w:rsidRDefault="00D905FD" w:rsidP="00DF165A">
      <w:pPr>
        <w:pStyle w:val="FootnoteText"/>
        <w:rPr>
          <w:rFonts w:cstheme="minorHAnsi"/>
        </w:rPr>
      </w:pPr>
      <w:r w:rsidRPr="005B6417">
        <w:rPr>
          <w:rStyle w:val="FootnoteReference"/>
          <w:rFonts w:cstheme="minorHAnsi"/>
        </w:rPr>
        <w:footnoteRef/>
      </w:r>
      <w:r w:rsidRPr="005B6417">
        <w:rPr>
          <w:rFonts w:cstheme="minorHAnsi"/>
        </w:rPr>
        <w:t xml:space="preserve"> Statutory Instrument 142 of 2013, Postal and Telecommunications (Subscriber Registration) Regulations provide for "privacy impact form" means a form which evaluates an entire project from a privacy perspective and identifies risks and mitigation strategies throughout;</w:t>
      </w:r>
    </w:p>
  </w:footnote>
  <w:footnote w:id="22">
    <w:p w14:paraId="534222DB" w14:textId="77777777" w:rsidR="00D905FD" w:rsidRPr="005B6417" w:rsidRDefault="00D905FD">
      <w:pPr>
        <w:pStyle w:val="FootnoteText"/>
        <w:rPr>
          <w:rFonts w:cstheme="minorHAnsi"/>
          <w:lang w:val="en-ZA"/>
        </w:rPr>
      </w:pPr>
      <w:r w:rsidRPr="005B6417">
        <w:rPr>
          <w:rStyle w:val="FootnoteReference"/>
          <w:rFonts w:cstheme="minorHAnsi"/>
        </w:rPr>
        <w:footnoteRef/>
      </w:r>
      <w:r w:rsidRPr="005B6417">
        <w:rPr>
          <w:rFonts w:cstheme="minorHAnsi"/>
        </w:rPr>
        <w:t xml:space="preserve"> SI 142 of 2013, for example section 7(6) on Service Providers indicates that “service providers shall maintain subscriber information of customers with numbers or identities potted to other service providers for a period of 5 years”.</w:t>
      </w:r>
    </w:p>
  </w:footnote>
  <w:footnote w:id="23">
    <w:p w14:paraId="2B400626" w14:textId="77777777" w:rsidR="00D905FD" w:rsidRPr="005B6417" w:rsidRDefault="00D905FD">
      <w:pPr>
        <w:pStyle w:val="FootnoteText"/>
        <w:rPr>
          <w:rFonts w:cstheme="minorHAnsi"/>
          <w:lang w:val="en-ZA"/>
        </w:rPr>
      </w:pPr>
      <w:r w:rsidRPr="005B6417">
        <w:rPr>
          <w:rStyle w:val="FootnoteReference"/>
          <w:rFonts w:cstheme="minorHAnsi"/>
        </w:rPr>
        <w:footnoteRef/>
      </w:r>
      <w:r w:rsidRPr="005B6417">
        <w:rPr>
          <w:rFonts w:cstheme="minorHAnsi"/>
        </w:rPr>
        <w:t xml:space="preserve"> Laws which regulates the retention of electronic records or mobile subscribers’ details, or traffic data </w:t>
      </w:r>
    </w:p>
  </w:footnote>
  <w:footnote w:id="24">
    <w:p w14:paraId="5238AA6F" w14:textId="77777777" w:rsidR="00D905FD" w:rsidRPr="005B6417" w:rsidRDefault="00D905FD">
      <w:pPr>
        <w:pStyle w:val="FootnoteText"/>
        <w:rPr>
          <w:rFonts w:cstheme="minorHAnsi"/>
          <w:lang w:val="en-ZA"/>
        </w:rPr>
      </w:pPr>
      <w:r w:rsidRPr="005B6417">
        <w:rPr>
          <w:rStyle w:val="FootnoteReference"/>
          <w:rFonts w:cstheme="minorHAnsi"/>
        </w:rPr>
        <w:footnoteRef/>
      </w:r>
      <w:r w:rsidRPr="005B6417">
        <w:rPr>
          <w:rFonts w:cstheme="minorHAnsi"/>
        </w:rPr>
        <w:t xml:space="preserve"> See GDPR Article 15-22</w:t>
      </w:r>
    </w:p>
  </w:footnote>
  <w:footnote w:id="25">
    <w:p w14:paraId="62EF3ADD" w14:textId="77777777" w:rsidR="00D905FD" w:rsidRPr="005B6417" w:rsidRDefault="00D905FD" w:rsidP="007F21E6">
      <w:pPr>
        <w:autoSpaceDE w:val="0"/>
        <w:autoSpaceDN w:val="0"/>
        <w:adjustRightInd w:val="0"/>
        <w:spacing w:after="0" w:line="240" w:lineRule="auto"/>
        <w:rPr>
          <w:rFonts w:cstheme="minorHAnsi"/>
          <w:sz w:val="20"/>
          <w:szCs w:val="20"/>
        </w:rPr>
      </w:pPr>
      <w:r w:rsidRPr="005B6417">
        <w:rPr>
          <w:rStyle w:val="FootnoteReference"/>
          <w:rFonts w:cstheme="minorHAnsi"/>
          <w:sz w:val="20"/>
          <w:szCs w:val="20"/>
        </w:rPr>
        <w:footnoteRef/>
      </w:r>
      <w:r w:rsidRPr="005B6417">
        <w:rPr>
          <w:rFonts w:cstheme="minorHAnsi"/>
          <w:sz w:val="20"/>
          <w:szCs w:val="20"/>
        </w:rPr>
        <w:t xml:space="preserve"> Kenya Data Protection Act section 38 (1) A data subject has the right to receive personal data concerning them in a structured, commonly used and machine-readable format.</w:t>
      </w:r>
    </w:p>
  </w:footnote>
  <w:footnote w:id="26">
    <w:p w14:paraId="0EB228A0" w14:textId="77777777" w:rsidR="00D905FD" w:rsidRPr="005B6417" w:rsidRDefault="00D905FD">
      <w:pPr>
        <w:pStyle w:val="FootnoteText"/>
        <w:rPr>
          <w:rFonts w:cstheme="minorHAnsi"/>
          <w:lang w:val="en-ZA"/>
        </w:rPr>
      </w:pPr>
      <w:r w:rsidRPr="005B6417">
        <w:rPr>
          <w:rStyle w:val="FootnoteReference"/>
          <w:rFonts w:cstheme="minorHAnsi"/>
        </w:rPr>
        <w:footnoteRef/>
      </w:r>
      <w:r w:rsidRPr="005B6417">
        <w:rPr>
          <w:rFonts w:cstheme="minorHAnsi"/>
        </w:rPr>
        <w:t xml:space="preserve"> </w:t>
      </w:r>
      <w:hyperlink r:id="rId1" w:history="1">
        <w:r w:rsidRPr="005B6417">
          <w:rPr>
            <w:rStyle w:val="Hyperlink"/>
            <w:rFonts w:cstheme="minorHAnsi"/>
          </w:rPr>
          <w:t>https://techcabal.com/2020/05/29/africas-cloud-computing-industry-is-set-to-grow-as-data-adoption-rises/</w:t>
        </w:r>
      </w:hyperlink>
      <w:r w:rsidRPr="005B6417">
        <w:rPr>
          <w:rFonts w:cstheme="minorHAnsi"/>
        </w:rPr>
        <w:t xml:space="preserve"> </w:t>
      </w:r>
    </w:p>
  </w:footnote>
  <w:footnote w:id="27">
    <w:p w14:paraId="63CD2AA9" w14:textId="77777777" w:rsidR="00D905FD" w:rsidRPr="00973E07" w:rsidRDefault="00D905FD">
      <w:pPr>
        <w:pStyle w:val="FootnoteText"/>
        <w:rPr>
          <w:lang w:val="en-GB"/>
        </w:rPr>
      </w:pPr>
      <w:r>
        <w:rPr>
          <w:rStyle w:val="FootnoteReference"/>
        </w:rPr>
        <w:footnoteRef/>
      </w:r>
      <w:r>
        <w:t xml:space="preserve"> </w:t>
      </w:r>
      <w:r>
        <w:rPr>
          <w:lang w:val="en-GB"/>
        </w:rPr>
        <w:t>Act no. 26 of 2000</w:t>
      </w:r>
    </w:p>
  </w:footnote>
  <w:footnote w:id="28">
    <w:p w14:paraId="50EA797F" w14:textId="77777777" w:rsidR="00D905FD" w:rsidRPr="007954C4" w:rsidRDefault="00D905FD">
      <w:pPr>
        <w:pStyle w:val="FootnoteText"/>
        <w:rPr>
          <w:lang w:val="en-GB"/>
        </w:rPr>
      </w:pPr>
      <w:r>
        <w:rPr>
          <w:rStyle w:val="FootnoteReference"/>
        </w:rPr>
        <w:footnoteRef/>
      </w:r>
      <w:r>
        <w:t xml:space="preserve"> </w:t>
      </w:r>
      <w:r w:rsidRPr="007954C4">
        <w:t>Public Interest Disclosure Act</w:t>
      </w:r>
    </w:p>
  </w:footnote>
  <w:footnote w:id="29">
    <w:p w14:paraId="4E43F0C0" w14:textId="77777777" w:rsidR="00D905FD" w:rsidRPr="007954C4" w:rsidRDefault="00D905FD">
      <w:pPr>
        <w:pStyle w:val="FootnoteText"/>
        <w:rPr>
          <w:lang w:val="en-GB"/>
        </w:rPr>
      </w:pPr>
      <w:r>
        <w:rPr>
          <w:rStyle w:val="FootnoteReference"/>
        </w:rPr>
        <w:footnoteRef/>
      </w:r>
      <w:r>
        <w:t xml:space="preserve"> </w:t>
      </w:r>
      <w:r>
        <w:rPr>
          <w:lang w:val="en-GB"/>
        </w:rPr>
        <w:t>Whistleblower Protection Act</w:t>
      </w:r>
    </w:p>
  </w:footnote>
  <w:footnote w:id="30">
    <w:p w14:paraId="1F77DA02" w14:textId="77777777" w:rsidR="00D905FD" w:rsidRPr="00E0550A" w:rsidRDefault="00D905FD">
      <w:pPr>
        <w:pStyle w:val="FootnoteText"/>
        <w:rPr>
          <w:lang w:val="en-GB"/>
        </w:rPr>
      </w:pPr>
      <w:r>
        <w:rPr>
          <w:rStyle w:val="FootnoteReference"/>
        </w:rPr>
        <w:footnoteRef/>
      </w:r>
      <w:r>
        <w:t xml:space="preserve"> </w:t>
      </w:r>
      <w:r w:rsidRPr="00E0550A">
        <w:t xml:space="preserve">CCZ 02-15 - </w:t>
      </w:r>
      <w:r>
        <w:t>Madanhire a</w:t>
      </w:r>
      <w:r w:rsidRPr="00E0550A">
        <w:t>nd Another V Attorney-General</w:t>
      </w:r>
    </w:p>
  </w:footnote>
  <w:footnote w:id="31">
    <w:p w14:paraId="53F3338D" w14:textId="77777777" w:rsidR="00D905FD" w:rsidRPr="005B6417" w:rsidRDefault="00D905FD" w:rsidP="00813079">
      <w:pPr>
        <w:pStyle w:val="FootnoteText"/>
        <w:rPr>
          <w:rFonts w:cstheme="minorHAnsi"/>
        </w:rPr>
      </w:pPr>
      <w:r w:rsidRPr="005B6417">
        <w:rPr>
          <w:rStyle w:val="FootnoteReference"/>
          <w:rFonts w:cstheme="minorHAnsi"/>
        </w:rPr>
        <w:footnoteRef/>
      </w:r>
      <w:r w:rsidRPr="005B6417">
        <w:rPr>
          <w:rFonts w:cstheme="minorHAnsi"/>
        </w:rPr>
        <w:t xml:space="preserve"> </w:t>
      </w:r>
      <w:r w:rsidRPr="005B6417">
        <w:rPr>
          <w:rFonts w:cstheme="minorHAnsi"/>
          <w:lang w:val="en-ZA"/>
        </w:rPr>
        <w:t xml:space="preserve">This is done through randomization which is altering the accuracy of data in order to remove the strong link between the data and the individual. Generalization is also used to dilute the attributes of the data subjects by modifying the scale or order of the data, like region or town) </w:t>
      </w:r>
    </w:p>
  </w:footnote>
  <w:footnote w:id="32">
    <w:p w14:paraId="340D843C" w14:textId="77777777" w:rsidR="00D905FD" w:rsidRPr="005B6417" w:rsidRDefault="00D905FD" w:rsidP="00D439AE">
      <w:pPr>
        <w:pStyle w:val="FootnoteText"/>
        <w:jc w:val="both"/>
        <w:rPr>
          <w:rFonts w:cstheme="minorHAnsi"/>
          <w:lang w:val="en-ZA"/>
        </w:rPr>
      </w:pPr>
      <w:r w:rsidRPr="005B6417">
        <w:rPr>
          <w:rStyle w:val="FootnoteReference"/>
          <w:rFonts w:cstheme="minorHAnsi"/>
        </w:rPr>
        <w:footnoteRef/>
      </w:r>
      <w:r w:rsidRPr="005B6417">
        <w:rPr>
          <w:rFonts w:cstheme="minorHAnsi"/>
        </w:rPr>
        <w:t xml:space="preserve"> South Africa Protection of Personal Information Act defines </w:t>
      </w:r>
      <w:r w:rsidRPr="005B6417">
        <w:rPr>
          <w:rFonts w:cstheme="minorHAnsi"/>
          <w:lang w:val="en-ZA"/>
        </w:rPr>
        <w:t>‘‘re-identify’’, in relation to personal information of a data subject, means to resurrect any information that has been de-identified, that— (a) identifies the data subject; (b) can be used or manipulated by a reasonably foreseeable method to identify the data subject; or (c) can be linked by a reasonably foreseeable method to other information that identifies the data subject.</w:t>
      </w:r>
    </w:p>
  </w:footnote>
  <w:footnote w:id="33">
    <w:p w14:paraId="0596CDBD" w14:textId="77777777" w:rsidR="00D905FD" w:rsidRPr="005B6417" w:rsidRDefault="00D905FD" w:rsidP="00813079">
      <w:pPr>
        <w:pStyle w:val="FootnoteText"/>
        <w:rPr>
          <w:rFonts w:cstheme="minorHAnsi"/>
        </w:rPr>
      </w:pPr>
      <w:r w:rsidRPr="005B6417">
        <w:rPr>
          <w:rStyle w:val="FootnoteReference"/>
          <w:rFonts w:cstheme="minorHAnsi"/>
        </w:rPr>
        <w:footnoteRef/>
      </w:r>
      <w:r w:rsidRPr="005B6417">
        <w:rPr>
          <w:rFonts w:cstheme="minorHAnsi"/>
        </w:rPr>
        <w:t xml:space="preserve"> Kenya Data Protection Act, section 39 (2) “A data controller or data processor shall delete, erase, anonymize or pseudonymize personal data not necessary to be retained under sub-section (1) in a manner as may be specified at the expiry of the retention period”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BCF"/>
    <w:multiLevelType w:val="multilevel"/>
    <w:tmpl w:val="1E46E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657827"/>
    <w:multiLevelType w:val="hybridMultilevel"/>
    <w:tmpl w:val="80F82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94380"/>
    <w:multiLevelType w:val="hybridMultilevel"/>
    <w:tmpl w:val="93FA6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D938B7"/>
    <w:multiLevelType w:val="hybridMultilevel"/>
    <w:tmpl w:val="65B8C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E010B8"/>
    <w:multiLevelType w:val="hybridMultilevel"/>
    <w:tmpl w:val="23422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EF1564"/>
    <w:multiLevelType w:val="hybridMultilevel"/>
    <w:tmpl w:val="75CC7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5565AC"/>
    <w:multiLevelType w:val="hybridMultilevel"/>
    <w:tmpl w:val="8F961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2C3D3D"/>
    <w:multiLevelType w:val="hybridMultilevel"/>
    <w:tmpl w:val="EBF49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190EEB"/>
    <w:multiLevelType w:val="hybridMultilevel"/>
    <w:tmpl w:val="A5182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D94F00"/>
    <w:multiLevelType w:val="hybridMultilevel"/>
    <w:tmpl w:val="4C34D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BD4BCF"/>
    <w:multiLevelType w:val="hybridMultilevel"/>
    <w:tmpl w:val="A9ACAABE"/>
    <w:lvl w:ilvl="0" w:tplc="63E4AB5E">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AA08F6"/>
    <w:multiLevelType w:val="hybridMultilevel"/>
    <w:tmpl w:val="F1864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0FC1FBD"/>
    <w:multiLevelType w:val="multilevel"/>
    <w:tmpl w:val="A44C8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46697D"/>
    <w:multiLevelType w:val="hybridMultilevel"/>
    <w:tmpl w:val="E1B69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300175"/>
    <w:multiLevelType w:val="hybridMultilevel"/>
    <w:tmpl w:val="4732B2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814951"/>
    <w:multiLevelType w:val="hybridMultilevel"/>
    <w:tmpl w:val="B7E0B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A83086"/>
    <w:multiLevelType w:val="hybridMultilevel"/>
    <w:tmpl w:val="972A9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A8B31C6"/>
    <w:multiLevelType w:val="hybridMultilevel"/>
    <w:tmpl w:val="75A01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B5648F"/>
    <w:multiLevelType w:val="hybridMultilevel"/>
    <w:tmpl w:val="45CC2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AD56FA"/>
    <w:multiLevelType w:val="hybridMultilevel"/>
    <w:tmpl w:val="739EE20C"/>
    <w:lvl w:ilvl="0" w:tplc="2F7E745C">
      <w:start w:val="1"/>
      <w:numFmt w:val="decimal"/>
      <w:lvlText w:val="%1)"/>
      <w:lvlJc w:val="left"/>
      <w:pPr>
        <w:ind w:left="413" w:hanging="360"/>
      </w:pPr>
      <w:rPr>
        <w:rFonts w:hint="default"/>
      </w:rPr>
    </w:lvl>
    <w:lvl w:ilvl="1" w:tplc="04090019" w:tentative="1">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num w:numId="1">
    <w:abstractNumId w:val="11"/>
  </w:num>
  <w:num w:numId="2">
    <w:abstractNumId w:val="4"/>
  </w:num>
  <w:num w:numId="3">
    <w:abstractNumId w:val="12"/>
  </w:num>
  <w:num w:numId="4">
    <w:abstractNumId w:val="2"/>
  </w:num>
  <w:num w:numId="5">
    <w:abstractNumId w:val="0"/>
  </w:num>
  <w:num w:numId="6">
    <w:abstractNumId w:val="6"/>
  </w:num>
  <w:num w:numId="7">
    <w:abstractNumId w:val="16"/>
  </w:num>
  <w:num w:numId="8">
    <w:abstractNumId w:val="15"/>
  </w:num>
  <w:num w:numId="9">
    <w:abstractNumId w:val="8"/>
  </w:num>
  <w:num w:numId="10">
    <w:abstractNumId w:val="9"/>
  </w:num>
  <w:num w:numId="11">
    <w:abstractNumId w:val="17"/>
  </w:num>
  <w:num w:numId="12">
    <w:abstractNumId w:val="10"/>
  </w:num>
  <w:num w:numId="13">
    <w:abstractNumId w:val="5"/>
  </w:num>
  <w:num w:numId="14">
    <w:abstractNumId w:val="14"/>
  </w:num>
  <w:num w:numId="15">
    <w:abstractNumId w:val="13"/>
  </w:num>
  <w:num w:numId="16">
    <w:abstractNumId w:val="7"/>
  </w:num>
  <w:num w:numId="17">
    <w:abstractNumId w:val="18"/>
  </w:num>
  <w:num w:numId="18">
    <w:abstractNumId w:val="3"/>
  </w:num>
  <w:num w:numId="19">
    <w:abstractNumId w:val="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EC8"/>
    <w:rsid w:val="00003CE9"/>
    <w:rsid w:val="000051D5"/>
    <w:rsid w:val="00005D58"/>
    <w:rsid w:val="00013E83"/>
    <w:rsid w:val="00014FB6"/>
    <w:rsid w:val="00016176"/>
    <w:rsid w:val="00017415"/>
    <w:rsid w:val="000230B1"/>
    <w:rsid w:val="00025382"/>
    <w:rsid w:val="00032988"/>
    <w:rsid w:val="000337EE"/>
    <w:rsid w:val="00041EBD"/>
    <w:rsid w:val="000532E2"/>
    <w:rsid w:val="00065CF1"/>
    <w:rsid w:val="00067B10"/>
    <w:rsid w:val="00074CA0"/>
    <w:rsid w:val="0007527E"/>
    <w:rsid w:val="0007547F"/>
    <w:rsid w:val="00076CD4"/>
    <w:rsid w:val="0008196F"/>
    <w:rsid w:val="00091B53"/>
    <w:rsid w:val="000933A5"/>
    <w:rsid w:val="00094185"/>
    <w:rsid w:val="00095EA9"/>
    <w:rsid w:val="00097ACB"/>
    <w:rsid w:val="000A133E"/>
    <w:rsid w:val="000A4B3A"/>
    <w:rsid w:val="000A6240"/>
    <w:rsid w:val="000B793A"/>
    <w:rsid w:val="000C18BB"/>
    <w:rsid w:val="000C208F"/>
    <w:rsid w:val="000C264D"/>
    <w:rsid w:val="000C3072"/>
    <w:rsid w:val="000C65AA"/>
    <w:rsid w:val="000C71EB"/>
    <w:rsid w:val="000D209A"/>
    <w:rsid w:val="000D2220"/>
    <w:rsid w:val="000D4287"/>
    <w:rsid w:val="000D527B"/>
    <w:rsid w:val="000D53FD"/>
    <w:rsid w:val="000D707A"/>
    <w:rsid w:val="000F24F3"/>
    <w:rsid w:val="001032DD"/>
    <w:rsid w:val="00114881"/>
    <w:rsid w:val="00115709"/>
    <w:rsid w:val="00122B3E"/>
    <w:rsid w:val="00122C96"/>
    <w:rsid w:val="00127C9E"/>
    <w:rsid w:val="00131207"/>
    <w:rsid w:val="00134804"/>
    <w:rsid w:val="00141BEE"/>
    <w:rsid w:val="00155ADA"/>
    <w:rsid w:val="00160200"/>
    <w:rsid w:val="001604F6"/>
    <w:rsid w:val="00160A66"/>
    <w:rsid w:val="0016771B"/>
    <w:rsid w:val="00171322"/>
    <w:rsid w:val="00173728"/>
    <w:rsid w:val="00181EC2"/>
    <w:rsid w:val="00183764"/>
    <w:rsid w:val="00190FDF"/>
    <w:rsid w:val="001A5A82"/>
    <w:rsid w:val="001B1BCB"/>
    <w:rsid w:val="001C3789"/>
    <w:rsid w:val="001D05DA"/>
    <w:rsid w:val="001D2D9A"/>
    <w:rsid w:val="001D3384"/>
    <w:rsid w:val="001D4E65"/>
    <w:rsid w:val="001D785D"/>
    <w:rsid w:val="001E000B"/>
    <w:rsid w:val="001E531A"/>
    <w:rsid w:val="001F1B45"/>
    <w:rsid w:val="001F5865"/>
    <w:rsid w:val="002039F5"/>
    <w:rsid w:val="00203C5B"/>
    <w:rsid w:val="00210718"/>
    <w:rsid w:val="002108F4"/>
    <w:rsid w:val="00210E24"/>
    <w:rsid w:val="0021518A"/>
    <w:rsid w:val="00220BA6"/>
    <w:rsid w:val="00224BF4"/>
    <w:rsid w:val="002316F2"/>
    <w:rsid w:val="00240BF9"/>
    <w:rsid w:val="002466D1"/>
    <w:rsid w:val="00250591"/>
    <w:rsid w:val="00255E4A"/>
    <w:rsid w:val="00262A63"/>
    <w:rsid w:val="00263825"/>
    <w:rsid w:val="002650FB"/>
    <w:rsid w:val="0026619F"/>
    <w:rsid w:val="00266E24"/>
    <w:rsid w:val="002727AB"/>
    <w:rsid w:val="002840DF"/>
    <w:rsid w:val="00285A19"/>
    <w:rsid w:val="002866AB"/>
    <w:rsid w:val="002929F2"/>
    <w:rsid w:val="002A2493"/>
    <w:rsid w:val="002B17CA"/>
    <w:rsid w:val="002B1B93"/>
    <w:rsid w:val="002B4C16"/>
    <w:rsid w:val="002B7BAB"/>
    <w:rsid w:val="002C3280"/>
    <w:rsid w:val="002C35AD"/>
    <w:rsid w:val="002C62F9"/>
    <w:rsid w:val="002C7A6B"/>
    <w:rsid w:val="002D4D30"/>
    <w:rsid w:val="002D50A9"/>
    <w:rsid w:val="002E682C"/>
    <w:rsid w:val="002E7F92"/>
    <w:rsid w:val="003007AF"/>
    <w:rsid w:val="00302848"/>
    <w:rsid w:val="00312228"/>
    <w:rsid w:val="00312628"/>
    <w:rsid w:val="00317C5A"/>
    <w:rsid w:val="003229CA"/>
    <w:rsid w:val="00331ED9"/>
    <w:rsid w:val="003357C9"/>
    <w:rsid w:val="003360B8"/>
    <w:rsid w:val="003360CF"/>
    <w:rsid w:val="00347F04"/>
    <w:rsid w:val="003520A3"/>
    <w:rsid w:val="00356683"/>
    <w:rsid w:val="00361B2A"/>
    <w:rsid w:val="00364CD7"/>
    <w:rsid w:val="00380E7D"/>
    <w:rsid w:val="00385172"/>
    <w:rsid w:val="00386821"/>
    <w:rsid w:val="00387328"/>
    <w:rsid w:val="003A2F5C"/>
    <w:rsid w:val="003C51AB"/>
    <w:rsid w:val="003D123A"/>
    <w:rsid w:val="003D2F94"/>
    <w:rsid w:val="003D3405"/>
    <w:rsid w:val="003D5D41"/>
    <w:rsid w:val="003D749E"/>
    <w:rsid w:val="003E165A"/>
    <w:rsid w:val="003F00A9"/>
    <w:rsid w:val="003F5976"/>
    <w:rsid w:val="003F61D0"/>
    <w:rsid w:val="003F6DC9"/>
    <w:rsid w:val="003F7ECA"/>
    <w:rsid w:val="003F7F78"/>
    <w:rsid w:val="0040365E"/>
    <w:rsid w:val="00405561"/>
    <w:rsid w:val="00406061"/>
    <w:rsid w:val="0041511B"/>
    <w:rsid w:val="00415899"/>
    <w:rsid w:val="00415BF8"/>
    <w:rsid w:val="00416D25"/>
    <w:rsid w:val="004263E5"/>
    <w:rsid w:val="00426FD1"/>
    <w:rsid w:val="00427C1A"/>
    <w:rsid w:val="00433B0D"/>
    <w:rsid w:val="00436246"/>
    <w:rsid w:val="00460069"/>
    <w:rsid w:val="00460EC6"/>
    <w:rsid w:val="004723ED"/>
    <w:rsid w:val="0048747A"/>
    <w:rsid w:val="004902DF"/>
    <w:rsid w:val="004904BE"/>
    <w:rsid w:val="0049219D"/>
    <w:rsid w:val="004A596B"/>
    <w:rsid w:val="004C0FDD"/>
    <w:rsid w:val="004D32A8"/>
    <w:rsid w:val="004D53E7"/>
    <w:rsid w:val="004E0A24"/>
    <w:rsid w:val="004E1FBF"/>
    <w:rsid w:val="004E5461"/>
    <w:rsid w:val="004E7AAE"/>
    <w:rsid w:val="004F241F"/>
    <w:rsid w:val="004F7A65"/>
    <w:rsid w:val="005015B6"/>
    <w:rsid w:val="005032B3"/>
    <w:rsid w:val="005100C9"/>
    <w:rsid w:val="00510783"/>
    <w:rsid w:val="00515356"/>
    <w:rsid w:val="00517207"/>
    <w:rsid w:val="005201D5"/>
    <w:rsid w:val="0052687A"/>
    <w:rsid w:val="00541137"/>
    <w:rsid w:val="00541D9C"/>
    <w:rsid w:val="005437F2"/>
    <w:rsid w:val="00563259"/>
    <w:rsid w:val="005727AD"/>
    <w:rsid w:val="00581D82"/>
    <w:rsid w:val="00585FC0"/>
    <w:rsid w:val="00586A3D"/>
    <w:rsid w:val="00587493"/>
    <w:rsid w:val="00592B2F"/>
    <w:rsid w:val="00592EEC"/>
    <w:rsid w:val="005A0E6D"/>
    <w:rsid w:val="005A1CAD"/>
    <w:rsid w:val="005B6417"/>
    <w:rsid w:val="005C422B"/>
    <w:rsid w:val="005C5650"/>
    <w:rsid w:val="005D3933"/>
    <w:rsid w:val="005D4263"/>
    <w:rsid w:val="005D4A72"/>
    <w:rsid w:val="005E13A9"/>
    <w:rsid w:val="005E3345"/>
    <w:rsid w:val="005F5CFB"/>
    <w:rsid w:val="005F6C39"/>
    <w:rsid w:val="00602818"/>
    <w:rsid w:val="006138CE"/>
    <w:rsid w:val="00620F56"/>
    <w:rsid w:val="006213D9"/>
    <w:rsid w:val="00627BCD"/>
    <w:rsid w:val="00632D51"/>
    <w:rsid w:val="006361B6"/>
    <w:rsid w:val="00636850"/>
    <w:rsid w:val="00643160"/>
    <w:rsid w:val="00647029"/>
    <w:rsid w:val="00647D2E"/>
    <w:rsid w:val="0065237F"/>
    <w:rsid w:val="00655C06"/>
    <w:rsid w:val="00660BD1"/>
    <w:rsid w:val="00665C98"/>
    <w:rsid w:val="00670F6A"/>
    <w:rsid w:val="00671BB2"/>
    <w:rsid w:val="006739BE"/>
    <w:rsid w:val="00673AEF"/>
    <w:rsid w:val="00694BC3"/>
    <w:rsid w:val="00695391"/>
    <w:rsid w:val="00696BE0"/>
    <w:rsid w:val="006A1F3E"/>
    <w:rsid w:val="006A35F6"/>
    <w:rsid w:val="006B279A"/>
    <w:rsid w:val="006B2A68"/>
    <w:rsid w:val="006B2D87"/>
    <w:rsid w:val="006B32DF"/>
    <w:rsid w:val="006C522C"/>
    <w:rsid w:val="006C5556"/>
    <w:rsid w:val="006D28BF"/>
    <w:rsid w:val="006D302A"/>
    <w:rsid w:val="006E042D"/>
    <w:rsid w:val="006E2947"/>
    <w:rsid w:val="006E5216"/>
    <w:rsid w:val="006E5D12"/>
    <w:rsid w:val="006F0751"/>
    <w:rsid w:val="006F092D"/>
    <w:rsid w:val="006F149B"/>
    <w:rsid w:val="006F174A"/>
    <w:rsid w:val="006F1C1E"/>
    <w:rsid w:val="006F2091"/>
    <w:rsid w:val="006F25AB"/>
    <w:rsid w:val="006F3C1A"/>
    <w:rsid w:val="006F402C"/>
    <w:rsid w:val="006F4FC1"/>
    <w:rsid w:val="00702423"/>
    <w:rsid w:val="0070553C"/>
    <w:rsid w:val="00707908"/>
    <w:rsid w:val="00747C04"/>
    <w:rsid w:val="007650D3"/>
    <w:rsid w:val="0076607B"/>
    <w:rsid w:val="00777048"/>
    <w:rsid w:val="007774DA"/>
    <w:rsid w:val="00780FC3"/>
    <w:rsid w:val="007822C7"/>
    <w:rsid w:val="007954C4"/>
    <w:rsid w:val="007B1F8E"/>
    <w:rsid w:val="007B4F65"/>
    <w:rsid w:val="007B65F7"/>
    <w:rsid w:val="007B6747"/>
    <w:rsid w:val="007C7892"/>
    <w:rsid w:val="007D0194"/>
    <w:rsid w:val="007D0558"/>
    <w:rsid w:val="007D4C98"/>
    <w:rsid w:val="007D5753"/>
    <w:rsid w:val="007D57E8"/>
    <w:rsid w:val="007D6221"/>
    <w:rsid w:val="007D6AF1"/>
    <w:rsid w:val="007E6E4C"/>
    <w:rsid w:val="007F21E6"/>
    <w:rsid w:val="007F2D7D"/>
    <w:rsid w:val="007F7462"/>
    <w:rsid w:val="00802300"/>
    <w:rsid w:val="0080495F"/>
    <w:rsid w:val="00805BAE"/>
    <w:rsid w:val="008109B7"/>
    <w:rsid w:val="00810C92"/>
    <w:rsid w:val="0081237F"/>
    <w:rsid w:val="00813079"/>
    <w:rsid w:val="00814CA3"/>
    <w:rsid w:val="00817F6A"/>
    <w:rsid w:val="00830A2D"/>
    <w:rsid w:val="008373DC"/>
    <w:rsid w:val="00840B08"/>
    <w:rsid w:val="00841EC8"/>
    <w:rsid w:val="00843C92"/>
    <w:rsid w:val="0084633D"/>
    <w:rsid w:val="0085249F"/>
    <w:rsid w:val="00867597"/>
    <w:rsid w:val="0087411A"/>
    <w:rsid w:val="00874945"/>
    <w:rsid w:val="0087559F"/>
    <w:rsid w:val="00876957"/>
    <w:rsid w:val="00877035"/>
    <w:rsid w:val="008829F6"/>
    <w:rsid w:val="00885BA4"/>
    <w:rsid w:val="00894888"/>
    <w:rsid w:val="00894E78"/>
    <w:rsid w:val="008A08A3"/>
    <w:rsid w:val="008A25BF"/>
    <w:rsid w:val="008A62DD"/>
    <w:rsid w:val="008B4B3A"/>
    <w:rsid w:val="008B5632"/>
    <w:rsid w:val="008B63EF"/>
    <w:rsid w:val="008B78EF"/>
    <w:rsid w:val="008C286C"/>
    <w:rsid w:val="008C2B3B"/>
    <w:rsid w:val="008C2C06"/>
    <w:rsid w:val="008C43D6"/>
    <w:rsid w:val="008C6462"/>
    <w:rsid w:val="008C6770"/>
    <w:rsid w:val="008C7EC3"/>
    <w:rsid w:val="008D5C77"/>
    <w:rsid w:val="008E191D"/>
    <w:rsid w:val="008E47C3"/>
    <w:rsid w:val="008E57BC"/>
    <w:rsid w:val="008E65D9"/>
    <w:rsid w:val="00911724"/>
    <w:rsid w:val="00912A32"/>
    <w:rsid w:val="0091780A"/>
    <w:rsid w:val="00917AEA"/>
    <w:rsid w:val="009220EE"/>
    <w:rsid w:val="00924D0F"/>
    <w:rsid w:val="00924DDE"/>
    <w:rsid w:val="00926947"/>
    <w:rsid w:val="009269D2"/>
    <w:rsid w:val="00930066"/>
    <w:rsid w:val="00930914"/>
    <w:rsid w:val="00932B87"/>
    <w:rsid w:val="00946B34"/>
    <w:rsid w:val="00946E97"/>
    <w:rsid w:val="009506FC"/>
    <w:rsid w:val="009530F1"/>
    <w:rsid w:val="00954FBC"/>
    <w:rsid w:val="0096012E"/>
    <w:rsid w:val="009608A3"/>
    <w:rsid w:val="009649D3"/>
    <w:rsid w:val="00965612"/>
    <w:rsid w:val="00970504"/>
    <w:rsid w:val="00971D9B"/>
    <w:rsid w:val="00973E07"/>
    <w:rsid w:val="009756B9"/>
    <w:rsid w:val="00994937"/>
    <w:rsid w:val="00995686"/>
    <w:rsid w:val="00995C08"/>
    <w:rsid w:val="009A06DC"/>
    <w:rsid w:val="009A5EC6"/>
    <w:rsid w:val="009A67B3"/>
    <w:rsid w:val="009A793C"/>
    <w:rsid w:val="009B27C8"/>
    <w:rsid w:val="009B77EF"/>
    <w:rsid w:val="009D7F7B"/>
    <w:rsid w:val="009E4EC0"/>
    <w:rsid w:val="009F1889"/>
    <w:rsid w:val="009F3174"/>
    <w:rsid w:val="009F43AE"/>
    <w:rsid w:val="009F5240"/>
    <w:rsid w:val="009F6249"/>
    <w:rsid w:val="009F6CB2"/>
    <w:rsid w:val="00A01331"/>
    <w:rsid w:val="00A107A7"/>
    <w:rsid w:val="00A10AA8"/>
    <w:rsid w:val="00A2003F"/>
    <w:rsid w:val="00A20056"/>
    <w:rsid w:val="00A20925"/>
    <w:rsid w:val="00A2135E"/>
    <w:rsid w:val="00A416F3"/>
    <w:rsid w:val="00A43050"/>
    <w:rsid w:val="00A46C4B"/>
    <w:rsid w:val="00A50C97"/>
    <w:rsid w:val="00A51813"/>
    <w:rsid w:val="00A5647D"/>
    <w:rsid w:val="00A6097F"/>
    <w:rsid w:val="00A70176"/>
    <w:rsid w:val="00A710FC"/>
    <w:rsid w:val="00A951B7"/>
    <w:rsid w:val="00A95DFB"/>
    <w:rsid w:val="00A9670A"/>
    <w:rsid w:val="00AA261E"/>
    <w:rsid w:val="00AA534F"/>
    <w:rsid w:val="00AB03B8"/>
    <w:rsid w:val="00AB1824"/>
    <w:rsid w:val="00AB185B"/>
    <w:rsid w:val="00AB2DD6"/>
    <w:rsid w:val="00AB3464"/>
    <w:rsid w:val="00AC122A"/>
    <w:rsid w:val="00AC1488"/>
    <w:rsid w:val="00AC3CB9"/>
    <w:rsid w:val="00AC43FD"/>
    <w:rsid w:val="00AC4728"/>
    <w:rsid w:val="00AC5A45"/>
    <w:rsid w:val="00AD0CB8"/>
    <w:rsid w:val="00AD3891"/>
    <w:rsid w:val="00AD5F2B"/>
    <w:rsid w:val="00AE0043"/>
    <w:rsid w:val="00AE0EFF"/>
    <w:rsid w:val="00AE23E0"/>
    <w:rsid w:val="00AE4C97"/>
    <w:rsid w:val="00AE58FD"/>
    <w:rsid w:val="00AF195E"/>
    <w:rsid w:val="00AF387A"/>
    <w:rsid w:val="00AF3E24"/>
    <w:rsid w:val="00AF4218"/>
    <w:rsid w:val="00B00BAA"/>
    <w:rsid w:val="00B018D7"/>
    <w:rsid w:val="00B04AC6"/>
    <w:rsid w:val="00B119C4"/>
    <w:rsid w:val="00B17A9B"/>
    <w:rsid w:val="00B207AA"/>
    <w:rsid w:val="00B233CB"/>
    <w:rsid w:val="00B2559B"/>
    <w:rsid w:val="00B312F8"/>
    <w:rsid w:val="00B327E9"/>
    <w:rsid w:val="00B328DE"/>
    <w:rsid w:val="00B361E5"/>
    <w:rsid w:val="00B36C3D"/>
    <w:rsid w:val="00B44903"/>
    <w:rsid w:val="00B50E49"/>
    <w:rsid w:val="00B57A75"/>
    <w:rsid w:val="00B61682"/>
    <w:rsid w:val="00B630CF"/>
    <w:rsid w:val="00B70F05"/>
    <w:rsid w:val="00B73CE2"/>
    <w:rsid w:val="00B73E1F"/>
    <w:rsid w:val="00B758FA"/>
    <w:rsid w:val="00B83CA0"/>
    <w:rsid w:val="00B876D0"/>
    <w:rsid w:val="00B87C0F"/>
    <w:rsid w:val="00B905F9"/>
    <w:rsid w:val="00B9412E"/>
    <w:rsid w:val="00BA07C3"/>
    <w:rsid w:val="00BA1A5A"/>
    <w:rsid w:val="00BA1C4B"/>
    <w:rsid w:val="00BA2F27"/>
    <w:rsid w:val="00BA5363"/>
    <w:rsid w:val="00BB7B4E"/>
    <w:rsid w:val="00BC1279"/>
    <w:rsid w:val="00BC7BBF"/>
    <w:rsid w:val="00BC7DF6"/>
    <w:rsid w:val="00BD4B81"/>
    <w:rsid w:val="00BE088C"/>
    <w:rsid w:val="00BF1B95"/>
    <w:rsid w:val="00C04043"/>
    <w:rsid w:val="00C0653E"/>
    <w:rsid w:val="00C20AC3"/>
    <w:rsid w:val="00C21D28"/>
    <w:rsid w:val="00C251FC"/>
    <w:rsid w:val="00C27C1B"/>
    <w:rsid w:val="00C425CB"/>
    <w:rsid w:val="00C45AEB"/>
    <w:rsid w:val="00C47F13"/>
    <w:rsid w:val="00C502BC"/>
    <w:rsid w:val="00C57CD7"/>
    <w:rsid w:val="00C640BB"/>
    <w:rsid w:val="00C65BFD"/>
    <w:rsid w:val="00C777D8"/>
    <w:rsid w:val="00C91725"/>
    <w:rsid w:val="00C940D1"/>
    <w:rsid w:val="00CA111C"/>
    <w:rsid w:val="00CA72C3"/>
    <w:rsid w:val="00CB3414"/>
    <w:rsid w:val="00CC2594"/>
    <w:rsid w:val="00CC6719"/>
    <w:rsid w:val="00CD25E8"/>
    <w:rsid w:val="00CD33ED"/>
    <w:rsid w:val="00CD50FE"/>
    <w:rsid w:val="00CD5E4A"/>
    <w:rsid w:val="00CD657E"/>
    <w:rsid w:val="00CE02FE"/>
    <w:rsid w:val="00CF1FE8"/>
    <w:rsid w:val="00CF2DF3"/>
    <w:rsid w:val="00CF7BB2"/>
    <w:rsid w:val="00D026B3"/>
    <w:rsid w:val="00D02BE4"/>
    <w:rsid w:val="00D0690E"/>
    <w:rsid w:val="00D06FE3"/>
    <w:rsid w:val="00D12C1F"/>
    <w:rsid w:val="00D1495B"/>
    <w:rsid w:val="00D166FB"/>
    <w:rsid w:val="00D22A07"/>
    <w:rsid w:val="00D2412A"/>
    <w:rsid w:val="00D25ECF"/>
    <w:rsid w:val="00D360C0"/>
    <w:rsid w:val="00D439AE"/>
    <w:rsid w:val="00D4475D"/>
    <w:rsid w:val="00D5022F"/>
    <w:rsid w:val="00D53558"/>
    <w:rsid w:val="00D53F30"/>
    <w:rsid w:val="00D61AD4"/>
    <w:rsid w:val="00D61C27"/>
    <w:rsid w:val="00D74B6E"/>
    <w:rsid w:val="00D8305D"/>
    <w:rsid w:val="00D8367B"/>
    <w:rsid w:val="00D85C56"/>
    <w:rsid w:val="00D85ECB"/>
    <w:rsid w:val="00D905FD"/>
    <w:rsid w:val="00D95EB6"/>
    <w:rsid w:val="00DA13C3"/>
    <w:rsid w:val="00DA5F9F"/>
    <w:rsid w:val="00DB579C"/>
    <w:rsid w:val="00DB6639"/>
    <w:rsid w:val="00DC422A"/>
    <w:rsid w:val="00DC5137"/>
    <w:rsid w:val="00DC741F"/>
    <w:rsid w:val="00DD124E"/>
    <w:rsid w:val="00DD76EC"/>
    <w:rsid w:val="00DE1AF0"/>
    <w:rsid w:val="00DF165A"/>
    <w:rsid w:val="00DF196F"/>
    <w:rsid w:val="00DF264E"/>
    <w:rsid w:val="00E0550A"/>
    <w:rsid w:val="00E11B62"/>
    <w:rsid w:val="00E17790"/>
    <w:rsid w:val="00E24C63"/>
    <w:rsid w:val="00E25697"/>
    <w:rsid w:val="00E26A99"/>
    <w:rsid w:val="00E27EF0"/>
    <w:rsid w:val="00E336D4"/>
    <w:rsid w:val="00E345F7"/>
    <w:rsid w:val="00E36A71"/>
    <w:rsid w:val="00E43A61"/>
    <w:rsid w:val="00E46AB9"/>
    <w:rsid w:val="00E47425"/>
    <w:rsid w:val="00E52CD0"/>
    <w:rsid w:val="00E565CA"/>
    <w:rsid w:val="00E57D45"/>
    <w:rsid w:val="00E60260"/>
    <w:rsid w:val="00E619BE"/>
    <w:rsid w:val="00E61E65"/>
    <w:rsid w:val="00E64218"/>
    <w:rsid w:val="00E66C60"/>
    <w:rsid w:val="00E71E6D"/>
    <w:rsid w:val="00E72817"/>
    <w:rsid w:val="00E76549"/>
    <w:rsid w:val="00E80913"/>
    <w:rsid w:val="00E81458"/>
    <w:rsid w:val="00E835FE"/>
    <w:rsid w:val="00E92548"/>
    <w:rsid w:val="00E94494"/>
    <w:rsid w:val="00E9475E"/>
    <w:rsid w:val="00E951FE"/>
    <w:rsid w:val="00EA559B"/>
    <w:rsid w:val="00EA5E10"/>
    <w:rsid w:val="00EB32CB"/>
    <w:rsid w:val="00EB5FA8"/>
    <w:rsid w:val="00EB70B7"/>
    <w:rsid w:val="00ED0845"/>
    <w:rsid w:val="00ED1B6D"/>
    <w:rsid w:val="00ED48B5"/>
    <w:rsid w:val="00EE5915"/>
    <w:rsid w:val="00EF365F"/>
    <w:rsid w:val="00F0203A"/>
    <w:rsid w:val="00F10BFF"/>
    <w:rsid w:val="00F13143"/>
    <w:rsid w:val="00F139D8"/>
    <w:rsid w:val="00F16618"/>
    <w:rsid w:val="00F21518"/>
    <w:rsid w:val="00F23D5B"/>
    <w:rsid w:val="00F24EC8"/>
    <w:rsid w:val="00F2509E"/>
    <w:rsid w:val="00F26255"/>
    <w:rsid w:val="00F417A6"/>
    <w:rsid w:val="00F41DF4"/>
    <w:rsid w:val="00F42D80"/>
    <w:rsid w:val="00F45138"/>
    <w:rsid w:val="00F476F6"/>
    <w:rsid w:val="00F627F6"/>
    <w:rsid w:val="00F64233"/>
    <w:rsid w:val="00F72A0E"/>
    <w:rsid w:val="00F73E35"/>
    <w:rsid w:val="00F76E81"/>
    <w:rsid w:val="00F850B4"/>
    <w:rsid w:val="00F9423E"/>
    <w:rsid w:val="00F95294"/>
    <w:rsid w:val="00F95904"/>
    <w:rsid w:val="00F95F31"/>
    <w:rsid w:val="00FA3D79"/>
    <w:rsid w:val="00FA4DCC"/>
    <w:rsid w:val="00FB0316"/>
    <w:rsid w:val="00FB473B"/>
    <w:rsid w:val="00FB670C"/>
    <w:rsid w:val="00FB69B0"/>
    <w:rsid w:val="00FC71F4"/>
    <w:rsid w:val="00FD0FF5"/>
    <w:rsid w:val="00FD141B"/>
    <w:rsid w:val="00FD5D1A"/>
    <w:rsid w:val="00FE3F18"/>
    <w:rsid w:val="00FE6DEE"/>
    <w:rsid w:val="00FE7B9A"/>
    <w:rsid w:val="00FF44EA"/>
    <w:rsid w:val="00FF5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FF214"/>
  <w15:chartTrackingRefBased/>
  <w15:docId w15:val="{BB643FA4-448F-43E7-947D-7675C2080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2EEC"/>
    <w:pPr>
      <w:keepNext/>
      <w:keepLines/>
      <w:spacing w:before="240" w:after="0"/>
      <w:outlineLvl w:val="0"/>
    </w:pPr>
    <w:rPr>
      <w:rFonts w:ascii="Book Antiqua" w:eastAsiaTheme="majorEastAsia" w:hAnsi="Book Antiqua" w:cstheme="majorBidi"/>
      <w:b/>
      <w:color w:val="2F5496" w:themeColor="accent1" w:themeShade="BF"/>
      <w:sz w:val="24"/>
      <w:szCs w:val="32"/>
    </w:rPr>
  </w:style>
  <w:style w:type="paragraph" w:styleId="Heading2">
    <w:name w:val="heading 2"/>
    <w:basedOn w:val="Normal"/>
    <w:next w:val="Normal"/>
    <w:link w:val="Heading2Char"/>
    <w:uiPriority w:val="9"/>
    <w:unhideWhenUsed/>
    <w:qFormat/>
    <w:rsid w:val="00AE0043"/>
    <w:pPr>
      <w:keepNext/>
      <w:keepLines/>
      <w:spacing w:before="40" w:after="0"/>
      <w:outlineLvl w:val="1"/>
    </w:pPr>
    <w:rPr>
      <w:rFonts w:eastAsiaTheme="majorEastAsia" w:cstheme="majorBidi"/>
      <w:color w:val="2F5496"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EEC"/>
    <w:rPr>
      <w:rFonts w:ascii="Book Antiqua" w:eastAsiaTheme="majorEastAsia" w:hAnsi="Book Antiqua" w:cstheme="majorBidi"/>
      <w:b/>
      <w:color w:val="2F5496" w:themeColor="accent1" w:themeShade="BF"/>
      <w:sz w:val="24"/>
      <w:szCs w:val="32"/>
    </w:rPr>
  </w:style>
  <w:style w:type="paragraph" w:styleId="ListParagraph">
    <w:name w:val="List Paragraph"/>
    <w:basedOn w:val="Normal"/>
    <w:uiPriority w:val="34"/>
    <w:qFormat/>
    <w:rsid w:val="00FE3F18"/>
    <w:pPr>
      <w:ind w:left="720"/>
      <w:contextualSpacing/>
    </w:pPr>
  </w:style>
  <w:style w:type="character" w:customStyle="1" w:styleId="Heading2Char">
    <w:name w:val="Heading 2 Char"/>
    <w:basedOn w:val="DefaultParagraphFont"/>
    <w:link w:val="Heading2"/>
    <w:uiPriority w:val="9"/>
    <w:rsid w:val="00AE0043"/>
    <w:rPr>
      <w:rFonts w:eastAsiaTheme="majorEastAsia" w:cstheme="majorBidi"/>
      <w:color w:val="2F5496" w:themeColor="accent1" w:themeShade="BF"/>
      <w:sz w:val="24"/>
      <w:szCs w:val="26"/>
    </w:rPr>
  </w:style>
  <w:style w:type="paragraph" w:customStyle="1" w:styleId="section">
    <w:name w:val="section"/>
    <w:basedOn w:val="Normal"/>
    <w:link w:val="sectionChar"/>
    <w:rsid w:val="006F149B"/>
    <w:pPr>
      <w:tabs>
        <w:tab w:val="left" w:pos="369"/>
        <w:tab w:val="left" w:pos="709"/>
      </w:tabs>
      <w:spacing w:after="60" w:line="240" w:lineRule="auto"/>
      <w:ind w:firstLine="369"/>
      <w:jc w:val="both"/>
    </w:pPr>
    <w:rPr>
      <w:rFonts w:ascii="Times New Roman" w:eastAsia="Times New Roman" w:hAnsi="Times New Roman" w:cs="Times New Roman"/>
      <w:szCs w:val="20"/>
      <w:lang w:val="en-GB" w:eastAsia="en-GB"/>
    </w:rPr>
  </w:style>
  <w:style w:type="character" w:customStyle="1" w:styleId="sectionChar">
    <w:name w:val="section Char"/>
    <w:basedOn w:val="DefaultParagraphFont"/>
    <w:link w:val="section"/>
    <w:rsid w:val="006F149B"/>
    <w:rPr>
      <w:rFonts w:ascii="Times New Roman" w:eastAsia="Times New Roman" w:hAnsi="Times New Roman" w:cs="Times New Roman"/>
      <w:szCs w:val="20"/>
      <w:lang w:val="en-GB" w:eastAsia="en-GB"/>
    </w:rPr>
  </w:style>
  <w:style w:type="paragraph" w:styleId="FootnoteText">
    <w:name w:val="footnote text"/>
    <w:basedOn w:val="Normal"/>
    <w:link w:val="FootnoteTextChar"/>
    <w:uiPriority w:val="99"/>
    <w:semiHidden/>
    <w:unhideWhenUsed/>
    <w:rsid w:val="002727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27AB"/>
    <w:rPr>
      <w:sz w:val="20"/>
      <w:szCs w:val="20"/>
    </w:rPr>
  </w:style>
  <w:style w:type="character" w:styleId="FootnoteReference">
    <w:name w:val="footnote reference"/>
    <w:basedOn w:val="DefaultParagraphFont"/>
    <w:uiPriority w:val="99"/>
    <w:semiHidden/>
    <w:unhideWhenUsed/>
    <w:rsid w:val="002727AB"/>
    <w:rPr>
      <w:vertAlign w:val="superscript"/>
    </w:rPr>
  </w:style>
  <w:style w:type="character" w:styleId="Hyperlink">
    <w:name w:val="Hyperlink"/>
    <w:basedOn w:val="DefaultParagraphFont"/>
    <w:uiPriority w:val="99"/>
    <w:unhideWhenUsed/>
    <w:rsid w:val="00240BF9"/>
    <w:rPr>
      <w:color w:val="0563C1" w:themeColor="hyperlink"/>
      <w:u w:val="single"/>
    </w:rPr>
  </w:style>
  <w:style w:type="character" w:customStyle="1" w:styleId="UnresolvedMention1">
    <w:name w:val="Unresolved Mention1"/>
    <w:basedOn w:val="DefaultParagraphFont"/>
    <w:uiPriority w:val="99"/>
    <w:semiHidden/>
    <w:unhideWhenUsed/>
    <w:rsid w:val="00240BF9"/>
    <w:rPr>
      <w:color w:val="808080"/>
      <w:shd w:val="clear" w:color="auto" w:fill="E6E6E6"/>
    </w:rPr>
  </w:style>
  <w:style w:type="paragraph" w:styleId="TOCHeading">
    <w:name w:val="TOC Heading"/>
    <w:basedOn w:val="Heading1"/>
    <w:next w:val="Normal"/>
    <w:uiPriority w:val="39"/>
    <w:unhideWhenUsed/>
    <w:qFormat/>
    <w:rsid w:val="00AE0043"/>
    <w:pPr>
      <w:outlineLvl w:val="9"/>
    </w:pPr>
    <w:rPr>
      <w:rFonts w:asciiTheme="majorHAnsi" w:hAnsiTheme="majorHAnsi"/>
      <w:b w:val="0"/>
      <w:sz w:val="32"/>
    </w:rPr>
  </w:style>
  <w:style w:type="paragraph" w:styleId="TOC1">
    <w:name w:val="toc 1"/>
    <w:basedOn w:val="Normal"/>
    <w:next w:val="Normal"/>
    <w:autoRedefine/>
    <w:uiPriority w:val="39"/>
    <w:unhideWhenUsed/>
    <w:rsid w:val="00AE0043"/>
    <w:pPr>
      <w:spacing w:after="100"/>
    </w:pPr>
  </w:style>
  <w:style w:type="paragraph" w:styleId="TOC2">
    <w:name w:val="toc 2"/>
    <w:basedOn w:val="Normal"/>
    <w:next w:val="Normal"/>
    <w:autoRedefine/>
    <w:uiPriority w:val="39"/>
    <w:unhideWhenUsed/>
    <w:rsid w:val="00AE0043"/>
    <w:pPr>
      <w:spacing w:after="100"/>
      <w:ind w:left="220"/>
    </w:pPr>
  </w:style>
  <w:style w:type="paragraph" w:styleId="Header">
    <w:name w:val="header"/>
    <w:basedOn w:val="Normal"/>
    <w:link w:val="HeaderChar"/>
    <w:uiPriority w:val="99"/>
    <w:unhideWhenUsed/>
    <w:rsid w:val="009F3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174"/>
  </w:style>
  <w:style w:type="paragraph" w:styleId="Footer">
    <w:name w:val="footer"/>
    <w:basedOn w:val="Normal"/>
    <w:link w:val="FooterChar"/>
    <w:uiPriority w:val="99"/>
    <w:unhideWhenUsed/>
    <w:rsid w:val="009F3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174"/>
  </w:style>
  <w:style w:type="paragraph" w:styleId="BalloonText">
    <w:name w:val="Balloon Text"/>
    <w:basedOn w:val="Normal"/>
    <w:link w:val="BalloonTextChar"/>
    <w:uiPriority w:val="99"/>
    <w:semiHidden/>
    <w:unhideWhenUsed/>
    <w:rsid w:val="00B04A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AC6"/>
    <w:rPr>
      <w:rFonts w:ascii="Segoe UI" w:hAnsi="Segoe UI" w:cs="Segoe UI"/>
      <w:sz w:val="18"/>
      <w:szCs w:val="18"/>
    </w:rPr>
  </w:style>
  <w:style w:type="character" w:styleId="CommentReference">
    <w:name w:val="annotation reference"/>
    <w:basedOn w:val="DefaultParagraphFont"/>
    <w:uiPriority w:val="99"/>
    <w:semiHidden/>
    <w:unhideWhenUsed/>
    <w:rsid w:val="00E46AB9"/>
    <w:rPr>
      <w:sz w:val="16"/>
      <w:szCs w:val="16"/>
    </w:rPr>
  </w:style>
  <w:style w:type="paragraph" w:styleId="CommentText">
    <w:name w:val="annotation text"/>
    <w:basedOn w:val="Normal"/>
    <w:link w:val="CommentTextChar"/>
    <w:uiPriority w:val="99"/>
    <w:semiHidden/>
    <w:unhideWhenUsed/>
    <w:rsid w:val="00E46AB9"/>
    <w:pPr>
      <w:spacing w:line="240" w:lineRule="auto"/>
    </w:pPr>
    <w:rPr>
      <w:sz w:val="20"/>
      <w:szCs w:val="20"/>
    </w:rPr>
  </w:style>
  <w:style w:type="character" w:customStyle="1" w:styleId="CommentTextChar">
    <w:name w:val="Comment Text Char"/>
    <w:basedOn w:val="DefaultParagraphFont"/>
    <w:link w:val="CommentText"/>
    <w:uiPriority w:val="99"/>
    <w:semiHidden/>
    <w:rsid w:val="00E46AB9"/>
    <w:rPr>
      <w:sz w:val="20"/>
      <w:szCs w:val="20"/>
    </w:rPr>
  </w:style>
  <w:style w:type="paragraph" w:styleId="CommentSubject">
    <w:name w:val="annotation subject"/>
    <w:basedOn w:val="CommentText"/>
    <w:next w:val="CommentText"/>
    <w:link w:val="CommentSubjectChar"/>
    <w:uiPriority w:val="99"/>
    <w:semiHidden/>
    <w:unhideWhenUsed/>
    <w:rsid w:val="00E46AB9"/>
    <w:rPr>
      <w:b/>
      <w:bCs/>
    </w:rPr>
  </w:style>
  <w:style w:type="character" w:customStyle="1" w:styleId="CommentSubjectChar">
    <w:name w:val="Comment Subject Char"/>
    <w:basedOn w:val="CommentTextChar"/>
    <w:link w:val="CommentSubject"/>
    <w:uiPriority w:val="99"/>
    <w:semiHidden/>
    <w:rsid w:val="00E46A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48765">
      <w:bodyDiv w:val="1"/>
      <w:marLeft w:val="0"/>
      <w:marRight w:val="0"/>
      <w:marTop w:val="0"/>
      <w:marBottom w:val="0"/>
      <w:divBdr>
        <w:top w:val="none" w:sz="0" w:space="0" w:color="auto"/>
        <w:left w:val="none" w:sz="0" w:space="0" w:color="auto"/>
        <w:bottom w:val="none" w:sz="0" w:space="0" w:color="auto"/>
        <w:right w:val="none" w:sz="0" w:space="0" w:color="auto"/>
      </w:divBdr>
    </w:div>
    <w:div w:id="205679962">
      <w:bodyDiv w:val="1"/>
      <w:marLeft w:val="0"/>
      <w:marRight w:val="0"/>
      <w:marTop w:val="0"/>
      <w:marBottom w:val="0"/>
      <w:divBdr>
        <w:top w:val="none" w:sz="0" w:space="0" w:color="auto"/>
        <w:left w:val="none" w:sz="0" w:space="0" w:color="auto"/>
        <w:bottom w:val="none" w:sz="0" w:space="0" w:color="auto"/>
        <w:right w:val="none" w:sz="0" w:space="0" w:color="auto"/>
      </w:divBdr>
      <w:divsChild>
        <w:div w:id="474879898">
          <w:marLeft w:val="0"/>
          <w:marRight w:val="0"/>
          <w:marTop w:val="0"/>
          <w:marBottom w:val="0"/>
          <w:divBdr>
            <w:top w:val="none" w:sz="0" w:space="0" w:color="auto"/>
            <w:left w:val="none" w:sz="0" w:space="0" w:color="auto"/>
            <w:bottom w:val="none" w:sz="0" w:space="0" w:color="auto"/>
            <w:right w:val="none" w:sz="0" w:space="0" w:color="auto"/>
          </w:divBdr>
        </w:div>
      </w:divsChild>
    </w:div>
    <w:div w:id="26241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techcabal.com/2020/05/29/africas-cloud-computing-industry-is-set-to-grow-as-data-adoption-ri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59A853A-29B1-4049-97BB-6DC0CE7BD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7904</Words>
  <Characters>45057</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Saki, Otto</dc:creator>
  <cp:keywords/>
  <dc:description/>
  <cp:lastModifiedBy>Nompilo Simanje</cp:lastModifiedBy>
  <cp:revision>2</cp:revision>
  <dcterms:created xsi:type="dcterms:W3CDTF">2020-06-19T13:05:00Z</dcterms:created>
  <dcterms:modified xsi:type="dcterms:W3CDTF">2020-06-19T13:05:00Z</dcterms:modified>
</cp:coreProperties>
</file>