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2.xml" ContentType="application/vnd.openxmlformats-officedocument.themeOverrid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3.xml" ContentType="application/vnd.openxmlformats-officedocument.themeOverrid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4.xml" ContentType="application/vnd.openxmlformats-officedocument.themeOverrid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DC" w:rsidRPr="00CD2B56" w:rsidRDefault="00004DDC" w:rsidP="00D36EA9">
      <w:pPr>
        <w:pBdr>
          <w:top w:val="thinThickSmallGap" w:sz="36" w:space="0" w:color="auto"/>
          <w:left w:val="thinThickSmallGap" w:sz="36" w:space="4" w:color="auto"/>
          <w:bottom w:val="thickThinSmallGap" w:sz="36" w:space="31" w:color="auto"/>
          <w:right w:val="thickThinSmallGap" w:sz="36" w:space="4" w:color="auto"/>
        </w:pBdr>
        <w:spacing w:line="360" w:lineRule="auto"/>
        <w:rPr>
          <w:rFonts w:ascii="Tahoma" w:eastAsia="Times New Roman" w:hAnsi="Tahoma" w:cs="Tahoma"/>
          <w:b/>
          <w:sz w:val="24"/>
          <w:szCs w:val="24"/>
          <w:lang w:val="en-ZW"/>
        </w:rPr>
      </w:pPr>
      <w:r w:rsidRPr="00CD2B56">
        <w:rPr>
          <w:rFonts w:ascii="Tahoma" w:eastAsia="Times New Roman" w:hAnsi="Tahoma" w:cs="Tahoma"/>
          <w:b/>
          <w:noProof/>
          <w:sz w:val="24"/>
          <w:szCs w:val="24"/>
          <w:lang w:val="en-ZW" w:eastAsia="en-ZW"/>
        </w:rPr>
        <w:drawing>
          <wp:anchor distT="0" distB="0" distL="114300" distR="114300" simplePos="0" relativeHeight="251659264" behindDoc="0" locked="0" layoutInCell="1" allowOverlap="1" wp14:anchorId="639A66FC" wp14:editId="356DBC05">
            <wp:simplePos x="0" y="0"/>
            <wp:positionH relativeFrom="column">
              <wp:posOffset>1657350</wp:posOffset>
            </wp:positionH>
            <wp:positionV relativeFrom="paragraph">
              <wp:posOffset>102235</wp:posOffset>
            </wp:positionV>
            <wp:extent cx="3200400" cy="2971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4DDC" w:rsidRPr="00CD2B56" w:rsidRDefault="00004DDC" w:rsidP="00D36EA9">
      <w:pPr>
        <w:pBdr>
          <w:top w:val="thinThickSmallGap" w:sz="36" w:space="0" w:color="auto"/>
          <w:left w:val="thinThickSmallGap" w:sz="36" w:space="4" w:color="auto"/>
          <w:bottom w:val="thickThinSmallGap" w:sz="36" w:space="31" w:color="auto"/>
          <w:right w:val="thickThinSmallGap" w:sz="36" w:space="4" w:color="auto"/>
        </w:pBdr>
        <w:spacing w:line="360" w:lineRule="auto"/>
        <w:rPr>
          <w:rFonts w:ascii="Tahoma" w:eastAsia="Times New Roman" w:hAnsi="Tahoma" w:cs="Tahoma"/>
          <w:b/>
          <w:sz w:val="24"/>
          <w:szCs w:val="24"/>
          <w:lang w:val="en-ZW"/>
        </w:rPr>
      </w:pPr>
    </w:p>
    <w:p w:rsidR="00004DDC" w:rsidRPr="00CD2B56" w:rsidRDefault="00004DDC" w:rsidP="00D36EA9">
      <w:pPr>
        <w:pBdr>
          <w:top w:val="thinThickSmallGap" w:sz="36" w:space="0" w:color="auto"/>
          <w:left w:val="thinThickSmallGap" w:sz="36" w:space="4" w:color="auto"/>
          <w:bottom w:val="thickThinSmallGap" w:sz="36" w:space="31" w:color="auto"/>
          <w:right w:val="thickThinSmallGap" w:sz="36" w:space="4" w:color="auto"/>
        </w:pBdr>
        <w:spacing w:line="360" w:lineRule="auto"/>
        <w:rPr>
          <w:rFonts w:ascii="Tahoma" w:eastAsia="Times New Roman" w:hAnsi="Tahoma" w:cs="Tahoma"/>
          <w:b/>
          <w:sz w:val="24"/>
          <w:szCs w:val="24"/>
          <w:lang w:val="en-ZW"/>
        </w:rPr>
      </w:pPr>
    </w:p>
    <w:p w:rsidR="00004DDC" w:rsidRPr="00CD2B56" w:rsidRDefault="00004DDC" w:rsidP="00D36EA9">
      <w:pPr>
        <w:pBdr>
          <w:top w:val="thinThickSmallGap" w:sz="36" w:space="0" w:color="auto"/>
          <w:left w:val="thinThickSmallGap" w:sz="36" w:space="4" w:color="auto"/>
          <w:bottom w:val="thickThinSmallGap" w:sz="36" w:space="31" w:color="auto"/>
          <w:right w:val="thickThinSmallGap" w:sz="36" w:space="4" w:color="auto"/>
        </w:pBdr>
        <w:spacing w:line="360" w:lineRule="auto"/>
        <w:rPr>
          <w:rFonts w:ascii="Tahoma" w:eastAsia="Times New Roman" w:hAnsi="Tahoma" w:cs="Tahoma"/>
          <w:b/>
          <w:sz w:val="24"/>
          <w:szCs w:val="24"/>
          <w:lang w:val="en-ZW"/>
        </w:rPr>
      </w:pPr>
    </w:p>
    <w:p w:rsidR="00004DDC" w:rsidRPr="00CD2B56" w:rsidRDefault="00004DDC" w:rsidP="00D36EA9">
      <w:pPr>
        <w:pBdr>
          <w:top w:val="thinThickSmallGap" w:sz="36" w:space="0" w:color="auto"/>
          <w:left w:val="thinThickSmallGap" w:sz="36" w:space="4" w:color="auto"/>
          <w:bottom w:val="thickThinSmallGap" w:sz="36" w:space="31" w:color="auto"/>
          <w:right w:val="thickThinSmallGap" w:sz="36" w:space="4" w:color="auto"/>
        </w:pBdr>
        <w:spacing w:line="360" w:lineRule="auto"/>
        <w:rPr>
          <w:rFonts w:ascii="Tahoma" w:eastAsia="Times New Roman" w:hAnsi="Tahoma" w:cs="Tahoma"/>
          <w:b/>
          <w:sz w:val="24"/>
          <w:szCs w:val="24"/>
          <w:lang w:val="en-ZW"/>
        </w:rPr>
      </w:pPr>
    </w:p>
    <w:p w:rsidR="00004DDC" w:rsidRPr="00CD2B56" w:rsidRDefault="00004DDC" w:rsidP="00D36EA9">
      <w:pPr>
        <w:pBdr>
          <w:top w:val="thinThickSmallGap" w:sz="36" w:space="0" w:color="auto"/>
          <w:left w:val="thinThickSmallGap" w:sz="36" w:space="4" w:color="auto"/>
          <w:bottom w:val="thickThinSmallGap" w:sz="36" w:space="31" w:color="auto"/>
          <w:right w:val="thickThinSmallGap" w:sz="36" w:space="4" w:color="auto"/>
        </w:pBdr>
        <w:spacing w:line="360" w:lineRule="auto"/>
        <w:rPr>
          <w:rFonts w:ascii="Tahoma" w:eastAsia="Times New Roman" w:hAnsi="Tahoma" w:cs="Tahoma"/>
          <w:b/>
          <w:sz w:val="24"/>
          <w:szCs w:val="24"/>
          <w:lang w:val="en-ZW"/>
        </w:rPr>
      </w:pPr>
    </w:p>
    <w:p w:rsidR="00004DDC" w:rsidRPr="00CD2B56" w:rsidRDefault="00004DDC" w:rsidP="00D36EA9">
      <w:pPr>
        <w:pBdr>
          <w:top w:val="thinThickSmallGap" w:sz="36" w:space="0" w:color="auto"/>
          <w:left w:val="thinThickSmallGap" w:sz="36" w:space="4" w:color="auto"/>
          <w:bottom w:val="thickThinSmallGap" w:sz="36" w:space="31" w:color="auto"/>
          <w:right w:val="thickThinSmallGap" w:sz="36" w:space="4" w:color="auto"/>
        </w:pBdr>
        <w:spacing w:line="360" w:lineRule="auto"/>
        <w:rPr>
          <w:rFonts w:ascii="Tahoma" w:eastAsia="Times New Roman" w:hAnsi="Tahoma" w:cs="Tahoma"/>
          <w:b/>
          <w:sz w:val="24"/>
          <w:szCs w:val="24"/>
          <w:lang w:val="en-ZW"/>
        </w:rPr>
      </w:pPr>
    </w:p>
    <w:p w:rsidR="00004DDC" w:rsidRPr="00CD2B56" w:rsidRDefault="00004DDC" w:rsidP="00D36EA9">
      <w:pPr>
        <w:pBdr>
          <w:top w:val="thinThickSmallGap" w:sz="36" w:space="0" w:color="auto"/>
          <w:left w:val="thinThickSmallGap" w:sz="36" w:space="4" w:color="auto"/>
          <w:bottom w:val="thickThinSmallGap" w:sz="36" w:space="31" w:color="auto"/>
          <w:right w:val="thickThinSmallGap" w:sz="36" w:space="4" w:color="auto"/>
        </w:pBdr>
        <w:spacing w:line="360" w:lineRule="auto"/>
        <w:rPr>
          <w:rFonts w:ascii="Tahoma" w:eastAsia="Times New Roman" w:hAnsi="Tahoma" w:cs="Tahoma"/>
          <w:b/>
          <w:sz w:val="24"/>
          <w:szCs w:val="24"/>
          <w:lang w:val="en-ZW"/>
        </w:rPr>
      </w:pPr>
    </w:p>
    <w:p w:rsidR="002F6FEF" w:rsidRPr="00CD2B56" w:rsidRDefault="002F6FEF" w:rsidP="00D36EA9">
      <w:pPr>
        <w:keepNext/>
        <w:pBdr>
          <w:top w:val="thinThickSmallGap" w:sz="36" w:space="0" w:color="auto"/>
          <w:left w:val="thinThickSmallGap" w:sz="36" w:space="4" w:color="auto"/>
          <w:bottom w:val="thickThinSmallGap" w:sz="36" w:space="31" w:color="auto"/>
          <w:right w:val="thickThinSmallGap" w:sz="36" w:space="4" w:color="auto"/>
        </w:pBdr>
        <w:spacing w:line="360" w:lineRule="auto"/>
        <w:ind w:firstLine="720"/>
        <w:jc w:val="center"/>
        <w:outlineLvl w:val="4"/>
        <w:rPr>
          <w:rFonts w:ascii="Tahoma" w:eastAsia="Times New Roman" w:hAnsi="Tahoma" w:cs="Tahoma"/>
          <w:b/>
          <w:sz w:val="24"/>
          <w:szCs w:val="24"/>
          <w:lang w:val="en-ZW"/>
        </w:rPr>
      </w:pPr>
    </w:p>
    <w:p w:rsidR="00AF07E9" w:rsidRPr="00CD2B56" w:rsidRDefault="00AF07E9" w:rsidP="00D36EA9">
      <w:pPr>
        <w:keepNext/>
        <w:pBdr>
          <w:top w:val="thinThickSmallGap" w:sz="36" w:space="0" w:color="auto"/>
          <w:left w:val="thinThickSmallGap" w:sz="36" w:space="4" w:color="auto"/>
          <w:bottom w:val="thickThinSmallGap" w:sz="36" w:space="31" w:color="auto"/>
          <w:right w:val="thickThinSmallGap" w:sz="36" w:space="4" w:color="auto"/>
        </w:pBdr>
        <w:spacing w:line="360" w:lineRule="auto"/>
        <w:ind w:firstLine="720"/>
        <w:jc w:val="center"/>
        <w:outlineLvl w:val="4"/>
        <w:rPr>
          <w:rFonts w:ascii="Tahoma" w:eastAsia="Times New Roman" w:hAnsi="Tahoma" w:cs="Tahoma"/>
          <w:b/>
          <w:sz w:val="24"/>
          <w:szCs w:val="24"/>
          <w:lang w:val="en-ZW"/>
        </w:rPr>
      </w:pPr>
    </w:p>
    <w:p w:rsidR="00004DDC" w:rsidRPr="00CD2B56" w:rsidRDefault="00B139DF" w:rsidP="00D36EA9">
      <w:pPr>
        <w:keepNext/>
        <w:pBdr>
          <w:top w:val="thinThickSmallGap" w:sz="36" w:space="0" w:color="auto"/>
          <w:left w:val="thinThickSmallGap" w:sz="36" w:space="4" w:color="auto"/>
          <w:bottom w:val="thickThinSmallGap" w:sz="36" w:space="31" w:color="auto"/>
          <w:right w:val="thickThinSmallGap" w:sz="36" w:space="4" w:color="auto"/>
        </w:pBdr>
        <w:spacing w:line="360" w:lineRule="auto"/>
        <w:ind w:firstLine="720"/>
        <w:jc w:val="center"/>
        <w:outlineLvl w:val="4"/>
        <w:rPr>
          <w:rFonts w:ascii="Tahoma" w:eastAsia="Times New Roman" w:hAnsi="Tahoma" w:cs="Tahoma"/>
          <w:b/>
          <w:sz w:val="24"/>
          <w:szCs w:val="24"/>
          <w:lang w:val="en-ZW"/>
        </w:rPr>
      </w:pPr>
      <w:r>
        <w:rPr>
          <w:rFonts w:ascii="Tahoma" w:eastAsia="Times New Roman" w:hAnsi="Tahoma" w:cs="Tahoma"/>
          <w:b/>
          <w:sz w:val="24"/>
          <w:szCs w:val="24"/>
          <w:lang w:val="en-ZW"/>
        </w:rPr>
        <w:t>STATE OF THE ECONOMY</w:t>
      </w:r>
    </w:p>
    <w:p w:rsidR="00834B8F" w:rsidRPr="00CD2B56" w:rsidRDefault="00834B8F" w:rsidP="00D36EA9">
      <w:pPr>
        <w:keepNext/>
        <w:pBdr>
          <w:top w:val="thinThickSmallGap" w:sz="36" w:space="0" w:color="auto"/>
          <w:left w:val="thinThickSmallGap" w:sz="36" w:space="4" w:color="auto"/>
          <w:bottom w:val="thickThinSmallGap" w:sz="36" w:space="31" w:color="auto"/>
          <w:right w:val="thickThinSmallGap" w:sz="36" w:space="4" w:color="auto"/>
        </w:pBdr>
        <w:spacing w:line="360" w:lineRule="auto"/>
        <w:ind w:firstLine="720"/>
        <w:jc w:val="center"/>
        <w:outlineLvl w:val="4"/>
        <w:rPr>
          <w:rFonts w:ascii="Tahoma" w:eastAsia="Times New Roman" w:hAnsi="Tahoma" w:cs="Tahoma"/>
          <w:b/>
          <w:sz w:val="24"/>
          <w:szCs w:val="24"/>
          <w:lang w:val="en-ZW"/>
        </w:rPr>
      </w:pPr>
    </w:p>
    <w:p w:rsidR="00AF07E9" w:rsidRPr="002C49E5" w:rsidRDefault="00B139DF" w:rsidP="00D36EA9">
      <w:pPr>
        <w:keepNext/>
        <w:pBdr>
          <w:top w:val="thinThickSmallGap" w:sz="36" w:space="0" w:color="auto"/>
          <w:left w:val="thinThickSmallGap" w:sz="36" w:space="4" w:color="auto"/>
          <w:bottom w:val="thickThinSmallGap" w:sz="36" w:space="31" w:color="auto"/>
          <w:right w:val="thickThinSmallGap" w:sz="36" w:space="4" w:color="auto"/>
        </w:pBdr>
        <w:spacing w:line="360" w:lineRule="auto"/>
        <w:ind w:firstLine="720"/>
        <w:jc w:val="center"/>
        <w:outlineLvl w:val="4"/>
        <w:rPr>
          <w:rFonts w:ascii="Tahoma" w:eastAsia="Times New Roman" w:hAnsi="Tahoma" w:cs="Tahoma"/>
          <w:sz w:val="24"/>
          <w:szCs w:val="24"/>
          <w:lang w:val="en-ZW"/>
        </w:rPr>
      </w:pPr>
      <w:r>
        <w:rPr>
          <w:rFonts w:ascii="Tahoma" w:eastAsia="Times New Roman" w:hAnsi="Tahoma" w:cs="Tahoma"/>
          <w:sz w:val="24"/>
          <w:szCs w:val="24"/>
          <w:lang w:val="en-ZW"/>
        </w:rPr>
        <w:t>MAY</w:t>
      </w:r>
      <w:r w:rsidR="005F085A" w:rsidRPr="002C49E5">
        <w:rPr>
          <w:rFonts w:ascii="Tahoma" w:eastAsia="Times New Roman" w:hAnsi="Tahoma" w:cs="Tahoma"/>
          <w:sz w:val="24"/>
          <w:szCs w:val="24"/>
          <w:lang w:val="en-ZW"/>
        </w:rPr>
        <w:t xml:space="preserve"> 2019</w:t>
      </w:r>
    </w:p>
    <w:p w:rsidR="00004DDC" w:rsidRPr="00CD2B56" w:rsidRDefault="00004DDC" w:rsidP="00D36EA9">
      <w:pPr>
        <w:keepNext/>
        <w:pBdr>
          <w:top w:val="thinThickSmallGap" w:sz="36" w:space="0" w:color="auto"/>
          <w:left w:val="thinThickSmallGap" w:sz="36" w:space="4" w:color="auto"/>
          <w:bottom w:val="thickThinSmallGap" w:sz="36" w:space="31" w:color="auto"/>
          <w:right w:val="thickThinSmallGap" w:sz="36" w:space="4" w:color="auto"/>
        </w:pBdr>
        <w:spacing w:line="360" w:lineRule="auto"/>
        <w:ind w:firstLine="720"/>
        <w:jc w:val="center"/>
        <w:outlineLvl w:val="4"/>
        <w:rPr>
          <w:rFonts w:ascii="Tahoma" w:eastAsia="Times New Roman" w:hAnsi="Tahoma" w:cs="Tahoma"/>
          <w:b/>
          <w:sz w:val="24"/>
          <w:szCs w:val="24"/>
          <w:lang w:val="en-ZW"/>
        </w:rPr>
      </w:pPr>
    </w:p>
    <w:p w:rsidR="00AF07E9" w:rsidRPr="00CD2B56" w:rsidRDefault="00AF07E9" w:rsidP="00D36EA9">
      <w:pPr>
        <w:keepNext/>
        <w:pBdr>
          <w:top w:val="thinThickSmallGap" w:sz="36" w:space="0" w:color="auto"/>
          <w:left w:val="thinThickSmallGap" w:sz="36" w:space="4" w:color="auto"/>
          <w:bottom w:val="thickThinSmallGap" w:sz="36" w:space="31" w:color="auto"/>
          <w:right w:val="thickThinSmallGap" w:sz="36" w:space="4" w:color="auto"/>
        </w:pBdr>
        <w:spacing w:line="360" w:lineRule="auto"/>
        <w:ind w:firstLine="720"/>
        <w:jc w:val="center"/>
        <w:outlineLvl w:val="4"/>
        <w:rPr>
          <w:rFonts w:ascii="Tahoma" w:eastAsia="Times New Roman" w:hAnsi="Tahoma" w:cs="Tahoma"/>
          <w:b/>
          <w:sz w:val="24"/>
          <w:szCs w:val="24"/>
          <w:lang w:val="en-ZW"/>
        </w:rPr>
      </w:pPr>
    </w:p>
    <w:p w:rsidR="00004DDC" w:rsidRPr="00CD2B56" w:rsidRDefault="00004DDC" w:rsidP="00D36EA9">
      <w:pPr>
        <w:keepNext/>
        <w:pBdr>
          <w:top w:val="thinThickSmallGap" w:sz="36" w:space="0" w:color="auto"/>
          <w:left w:val="thinThickSmallGap" w:sz="36" w:space="4" w:color="auto"/>
          <w:bottom w:val="thickThinSmallGap" w:sz="36" w:space="31" w:color="auto"/>
          <w:right w:val="thickThinSmallGap" w:sz="36" w:space="4" w:color="auto"/>
        </w:pBdr>
        <w:spacing w:line="360" w:lineRule="auto"/>
        <w:ind w:firstLine="720"/>
        <w:jc w:val="center"/>
        <w:outlineLvl w:val="4"/>
        <w:rPr>
          <w:rFonts w:ascii="Tahoma" w:eastAsia="Times New Roman" w:hAnsi="Tahoma" w:cs="Tahoma"/>
          <w:b/>
          <w:sz w:val="24"/>
          <w:szCs w:val="24"/>
          <w:lang w:val="en-ZW"/>
        </w:rPr>
      </w:pPr>
      <w:r w:rsidRPr="00CD2B56">
        <w:rPr>
          <w:rFonts w:ascii="Tahoma" w:eastAsia="Times New Roman" w:hAnsi="Tahoma" w:cs="Tahoma"/>
          <w:b/>
          <w:sz w:val="24"/>
          <w:szCs w:val="24"/>
          <w:lang w:val="en-ZW"/>
        </w:rPr>
        <w:t>Ministry of Finance and Economic Development</w:t>
      </w:r>
    </w:p>
    <w:p w:rsidR="00160FB5" w:rsidRPr="00CD2B56" w:rsidRDefault="00160FB5" w:rsidP="00D36EA9">
      <w:pPr>
        <w:keepNext/>
        <w:pBdr>
          <w:top w:val="thinThickSmallGap" w:sz="36" w:space="0" w:color="auto"/>
          <w:left w:val="thinThickSmallGap" w:sz="36" w:space="4" w:color="auto"/>
          <w:bottom w:val="thickThinSmallGap" w:sz="36" w:space="31" w:color="auto"/>
          <w:right w:val="thickThinSmallGap" w:sz="36" w:space="4" w:color="auto"/>
        </w:pBdr>
        <w:spacing w:line="360" w:lineRule="auto"/>
        <w:ind w:firstLine="720"/>
        <w:jc w:val="center"/>
        <w:outlineLvl w:val="4"/>
        <w:rPr>
          <w:rFonts w:ascii="Tahoma" w:eastAsia="Times New Roman" w:hAnsi="Tahoma" w:cs="Tahoma"/>
          <w:b/>
          <w:sz w:val="24"/>
          <w:szCs w:val="24"/>
          <w:lang w:val="en-ZW"/>
        </w:rPr>
      </w:pPr>
    </w:p>
    <w:p w:rsidR="00CD70FF" w:rsidRPr="00CD2B56" w:rsidRDefault="00CD70FF" w:rsidP="00D36EA9">
      <w:pPr>
        <w:keepNext/>
        <w:pBdr>
          <w:top w:val="thinThickSmallGap" w:sz="36" w:space="0" w:color="auto"/>
          <w:left w:val="thinThickSmallGap" w:sz="36" w:space="4" w:color="auto"/>
          <w:bottom w:val="thickThinSmallGap" w:sz="36" w:space="31" w:color="auto"/>
          <w:right w:val="thickThinSmallGap" w:sz="36" w:space="4" w:color="auto"/>
        </w:pBdr>
        <w:spacing w:line="360" w:lineRule="auto"/>
        <w:ind w:firstLine="720"/>
        <w:jc w:val="center"/>
        <w:outlineLvl w:val="4"/>
        <w:rPr>
          <w:rFonts w:ascii="Tahoma" w:eastAsia="Times New Roman" w:hAnsi="Tahoma" w:cs="Tahoma"/>
          <w:b/>
          <w:sz w:val="24"/>
          <w:szCs w:val="24"/>
          <w:lang w:val="en-ZW"/>
        </w:rPr>
      </w:pPr>
    </w:p>
    <w:p w:rsidR="00004DDC" w:rsidRPr="00CD2B56" w:rsidRDefault="00004DDC">
      <w:pPr>
        <w:spacing w:after="200" w:line="276" w:lineRule="auto"/>
        <w:rPr>
          <w:rFonts w:ascii="Tahoma" w:hAnsi="Tahoma" w:cs="Tahoma"/>
          <w:b/>
          <w:sz w:val="24"/>
          <w:szCs w:val="24"/>
        </w:rPr>
      </w:pPr>
      <w:r w:rsidRPr="00CD2B56">
        <w:rPr>
          <w:rFonts w:ascii="Tahoma" w:hAnsi="Tahoma" w:cs="Tahoma"/>
          <w:b/>
          <w:sz w:val="24"/>
          <w:szCs w:val="24"/>
        </w:rPr>
        <w:br w:type="page"/>
      </w:r>
    </w:p>
    <w:p w:rsidR="00004DDC" w:rsidRPr="00CD2B56" w:rsidRDefault="004D5E0C" w:rsidP="00B139DF">
      <w:pPr>
        <w:pStyle w:val="Heading1"/>
        <w:ind w:firstLine="567"/>
        <w:rPr>
          <w:rFonts w:ascii="Tahoma" w:hAnsi="Tahoma" w:cs="Tahoma"/>
          <w:b/>
          <w:color w:val="auto"/>
          <w:sz w:val="24"/>
          <w:szCs w:val="24"/>
        </w:rPr>
      </w:pPr>
      <w:r>
        <w:rPr>
          <w:rFonts w:ascii="Tahoma" w:hAnsi="Tahoma" w:cs="Tahoma"/>
          <w:b/>
          <w:color w:val="auto"/>
          <w:sz w:val="24"/>
          <w:szCs w:val="24"/>
        </w:rPr>
        <w:lastRenderedPageBreak/>
        <w:t>PREAMBLE</w:t>
      </w:r>
      <w:r w:rsidR="00DD540C" w:rsidRPr="00CD2B56">
        <w:rPr>
          <w:rFonts w:ascii="Tahoma" w:hAnsi="Tahoma" w:cs="Tahoma"/>
          <w:b/>
          <w:color w:val="auto"/>
          <w:sz w:val="24"/>
          <w:szCs w:val="24"/>
        </w:rPr>
        <w:t xml:space="preserve"> </w:t>
      </w:r>
    </w:p>
    <w:p w:rsidR="0059259D" w:rsidRDefault="0059259D" w:rsidP="0059259D">
      <w:pPr>
        <w:spacing w:line="360" w:lineRule="auto"/>
        <w:jc w:val="both"/>
        <w:rPr>
          <w:rFonts w:ascii="Tahoma" w:eastAsia="Calibri" w:hAnsi="Tahoma" w:cs="Tahoma"/>
          <w:sz w:val="24"/>
          <w:szCs w:val="24"/>
          <w:lang w:val="en-ZW"/>
        </w:rPr>
      </w:pPr>
    </w:p>
    <w:p w:rsidR="004D5E0C" w:rsidRDefault="00A77BF2" w:rsidP="004D5E0C">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Honourable Members</w:t>
      </w:r>
      <w:r w:rsidR="000416D0">
        <w:rPr>
          <w:rFonts w:ascii="Tahoma" w:hAnsi="Tahoma" w:cs="Tahoma"/>
          <w:sz w:val="24"/>
          <w:szCs w:val="24"/>
        </w:rPr>
        <w:t xml:space="preserve"> </w:t>
      </w:r>
      <w:r w:rsidR="004D5E0C">
        <w:rPr>
          <w:rFonts w:ascii="Tahoma" w:hAnsi="Tahoma" w:cs="Tahoma"/>
          <w:sz w:val="24"/>
          <w:szCs w:val="24"/>
        </w:rPr>
        <w:t xml:space="preserve">will be aware that since the advent of the New Dispensation, Government’s approach is to prioritise the economy with focus on </w:t>
      </w:r>
      <w:r>
        <w:rPr>
          <w:rFonts w:ascii="Tahoma" w:hAnsi="Tahoma" w:cs="Tahoma"/>
          <w:sz w:val="24"/>
          <w:szCs w:val="24"/>
        </w:rPr>
        <w:t xml:space="preserve">implementing deeper reforms that promote stabilisation and growth. </w:t>
      </w:r>
    </w:p>
    <w:p w:rsidR="004D5E0C" w:rsidRDefault="004D5E0C" w:rsidP="00277DAF">
      <w:pPr>
        <w:spacing w:line="360" w:lineRule="auto"/>
        <w:jc w:val="both"/>
        <w:rPr>
          <w:rFonts w:ascii="Tahoma" w:hAnsi="Tahoma" w:cs="Tahoma"/>
          <w:sz w:val="24"/>
          <w:szCs w:val="24"/>
        </w:rPr>
      </w:pPr>
    </w:p>
    <w:p w:rsidR="00A77BF2" w:rsidRDefault="004D5E0C" w:rsidP="004D5E0C">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 xml:space="preserve">On this basis, the adoption of the Transitional Stabilisation Programme </w:t>
      </w:r>
      <w:r w:rsidR="00A77BF2">
        <w:rPr>
          <w:rFonts w:ascii="Tahoma" w:hAnsi="Tahoma" w:cs="Tahoma"/>
          <w:sz w:val="24"/>
          <w:szCs w:val="24"/>
        </w:rPr>
        <w:t xml:space="preserve">marked the first major step towards this goal. </w:t>
      </w:r>
    </w:p>
    <w:p w:rsidR="00A77BF2" w:rsidRPr="00A77BF2" w:rsidRDefault="00A77BF2" w:rsidP="00277DAF">
      <w:pPr>
        <w:spacing w:line="360" w:lineRule="auto"/>
        <w:jc w:val="both"/>
        <w:rPr>
          <w:rFonts w:ascii="Tahoma" w:hAnsi="Tahoma" w:cs="Tahoma"/>
          <w:sz w:val="24"/>
          <w:szCs w:val="24"/>
        </w:rPr>
      </w:pPr>
    </w:p>
    <w:p w:rsidR="000416D0" w:rsidRDefault="00A77BF2" w:rsidP="004D5E0C">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Before giving details on economic developments of our country, a</w:t>
      </w:r>
      <w:r w:rsidR="000416D0">
        <w:rPr>
          <w:rFonts w:ascii="Tahoma" w:hAnsi="Tahoma" w:cs="Tahoma"/>
          <w:sz w:val="24"/>
          <w:szCs w:val="24"/>
        </w:rPr>
        <w:t>llow me to contextualise the current environment in the global context.</w:t>
      </w:r>
      <w:r>
        <w:rPr>
          <w:rFonts w:ascii="Tahoma" w:hAnsi="Tahoma" w:cs="Tahoma"/>
          <w:sz w:val="24"/>
          <w:szCs w:val="24"/>
        </w:rPr>
        <w:t xml:space="preserve"> </w:t>
      </w:r>
    </w:p>
    <w:p w:rsidR="000416D0" w:rsidRDefault="000416D0" w:rsidP="0059259D">
      <w:pPr>
        <w:spacing w:line="360" w:lineRule="auto"/>
        <w:jc w:val="both"/>
        <w:rPr>
          <w:rFonts w:ascii="Tahoma" w:eastAsia="Calibri" w:hAnsi="Tahoma" w:cs="Tahoma"/>
          <w:sz w:val="24"/>
          <w:szCs w:val="24"/>
          <w:lang w:val="en-ZW"/>
        </w:rPr>
      </w:pPr>
    </w:p>
    <w:p w:rsidR="000416D0" w:rsidRPr="004D5E0C" w:rsidRDefault="00277DAF" w:rsidP="000416D0">
      <w:pPr>
        <w:pStyle w:val="Heading2"/>
        <w:ind w:left="567"/>
        <w:rPr>
          <w:noProof/>
          <w:sz w:val="24"/>
          <w:szCs w:val="24"/>
          <w:lang w:val="en-ZW"/>
        </w:rPr>
      </w:pPr>
      <w:r w:rsidRPr="004D5E0C">
        <w:rPr>
          <w:noProof/>
          <w:sz w:val="24"/>
          <w:szCs w:val="24"/>
        </w:rPr>
        <w:t>GLOBAL ECONOMIC DEVELOPMENT</w:t>
      </w:r>
      <w:r w:rsidRPr="004D5E0C">
        <w:rPr>
          <w:noProof/>
          <w:sz w:val="24"/>
          <w:szCs w:val="24"/>
          <w:lang w:val="en-ZW"/>
        </w:rPr>
        <w:t>S</w:t>
      </w:r>
    </w:p>
    <w:p w:rsidR="000416D0" w:rsidRDefault="000416D0" w:rsidP="000416D0">
      <w:pPr>
        <w:spacing w:line="360" w:lineRule="auto"/>
        <w:jc w:val="both"/>
        <w:rPr>
          <w:rFonts w:ascii="Tahoma" w:hAnsi="Tahoma" w:cs="Tahoma"/>
          <w:noProof/>
          <w:sz w:val="24"/>
          <w:szCs w:val="24"/>
        </w:rPr>
      </w:pPr>
    </w:p>
    <w:p w:rsidR="00FE6950" w:rsidRDefault="004D5E0C" w:rsidP="004D5E0C">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T</w:t>
      </w:r>
      <w:r w:rsidRPr="0093456D">
        <w:rPr>
          <w:rFonts w:ascii="Tahoma" w:hAnsi="Tahoma" w:cs="Tahoma"/>
          <w:sz w:val="24"/>
          <w:szCs w:val="24"/>
        </w:rPr>
        <w:t xml:space="preserve">he global economy </w:t>
      </w:r>
      <w:r w:rsidR="00897142">
        <w:rPr>
          <w:rFonts w:ascii="Tahoma" w:hAnsi="Tahoma" w:cs="Tahoma"/>
          <w:sz w:val="24"/>
          <w:szCs w:val="24"/>
        </w:rPr>
        <w:t>depicted signs of cooling</w:t>
      </w:r>
      <w:r w:rsidRPr="0093456D">
        <w:rPr>
          <w:rFonts w:ascii="Tahoma" w:hAnsi="Tahoma" w:cs="Tahoma"/>
          <w:sz w:val="24"/>
          <w:szCs w:val="24"/>
        </w:rPr>
        <w:t xml:space="preserve"> down during the first quarter of 2019</w:t>
      </w:r>
      <w:r>
        <w:rPr>
          <w:rFonts w:ascii="Tahoma" w:hAnsi="Tahoma" w:cs="Tahoma"/>
          <w:sz w:val="24"/>
          <w:szCs w:val="24"/>
        </w:rPr>
        <w:t xml:space="preserve"> </w:t>
      </w:r>
      <w:r w:rsidR="00897142">
        <w:rPr>
          <w:rFonts w:ascii="Tahoma" w:hAnsi="Tahoma" w:cs="Tahoma"/>
          <w:sz w:val="24"/>
          <w:szCs w:val="24"/>
        </w:rPr>
        <w:t>on account of a confluence of different factors.</w:t>
      </w:r>
      <w:r>
        <w:rPr>
          <w:rFonts w:ascii="Tahoma" w:hAnsi="Tahoma" w:cs="Tahoma"/>
          <w:sz w:val="24"/>
          <w:szCs w:val="24"/>
        </w:rPr>
        <w:t xml:space="preserve"> </w:t>
      </w:r>
      <w:r w:rsidR="00FE6950">
        <w:rPr>
          <w:rFonts w:ascii="Tahoma" w:hAnsi="Tahoma" w:cs="Tahoma"/>
          <w:sz w:val="24"/>
          <w:szCs w:val="24"/>
        </w:rPr>
        <w:t>T</w:t>
      </w:r>
      <w:r>
        <w:rPr>
          <w:rFonts w:ascii="Tahoma" w:hAnsi="Tahoma" w:cs="Tahoma"/>
          <w:sz w:val="24"/>
          <w:szCs w:val="24"/>
        </w:rPr>
        <w:t>rade tensions between the USA and China</w:t>
      </w:r>
      <w:r w:rsidR="00897142">
        <w:rPr>
          <w:rFonts w:ascii="Tahoma" w:hAnsi="Tahoma" w:cs="Tahoma"/>
          <w:sz w:val="24"/>
          <w:szCs w:val="24"/>
        </w:rPr>
        <w:t xml:space="preserve"> </w:t>
      </w:r>
      <w:r w:rsidR="00FE6950">
        <w:rPr>
          <w:rFonts w:ascii="Tahoma" w:hAnsi="Tahoma" w:cs="Tahoma"/>
          <w:sz w:val="24"/>
          <w:szCs w:val="24"/>
        </w:rPr>
        <w:t>which were showing signs of thawing down, are actually flaring</w:t>
      </w:r>
      <w:r w:rsidR="00FE6950" w:rsidRPr="00897142">
        <w:rPr>
          <w:rFonts w:ascii="Tahoma" w:hAnsi="Tahoma" w:cs="Tahoma"/>
          <w:sz w:val="24"/>
          <w:szCs w:val="24"/>
        </w:rPr>
        <w:t xml:space="preserve"> up again </w:t>
      </w:r>
      <w:r w:rsidR="00FE6950">
        <w:rPr>
          <w:rFonts w:ascii="Tahoma" w:hAnsi="Tahoma" w:cs="Tahoma"/>
          <w:sz w:val="24"/>
          <w:szCs w:val="24"/>
        </w:rPr>
        <w:t xml:space="preserve">posing </w:t>
      </w:r>
      <w:r w:rsidR="00FE6950" w:rsidRPr="00897142">
        <w:rPr>
          <w:rFonts w:ascii="Tahoma" w:hAnsi="Tahoma" w:cs="Tahoma"/>
          <w:sz w:val="24"/>
          <w:szCs w:val="24"/>
        </w:rPr>
        <w:t>large</w:t>
      </w:r>
      <w:r w:rsidR="00FE6950">
        <w:rPr>
          <w:rFonts w:ascii="Tahoma" w:hAnsi="Tahoma" w:cs="Tahoma"/>
          <w:sz w:val="24"/>
          <w:szCs w:val="24"/>
        </w:rPr>
        <w:t>r</w:t>
      </w:r>
      <w:r w:rsidR="00FE6950" w:rsidRPr="00897142">
        <w:rPr>
          <w:rFonts w:ascii="Tahoma" w:hAnsi="Tahoma" w:cs="Tahoma"/>
          <w:sz w:val="24"/>
          <w:szCs w:val="24"/>
        </w:rPr>
        <w:t xml:space="preserve"> disruptions </w:t>
      </w:r>
      <w:r w:rsidR="00FE6950">
        <w:rPr>
          <w:rFonts w:ascii="Tahoma" w:hAnsi="Tahoma" w:cs="Tahoma"/>
          <w:sz w:val="24"/>
          <w:szCs w:val="24"/>
        </w:rPr>
        <w:t>in</w:t>
      </w:r>
      <w:r w:rsidR="00FE6950" w:rsidRPr="00897142">
        <w:rPr>
          <w:rFonts w:ascii="Tahoma" w:hAnsi="Tahoma" w:cs="Tahoma"/>
          <w:sz w:val="24"/>
          <w:szCs w:val="24"/>
        </w:rPr>
        <w:t xml:space="preserve"> global </w:t>
      </w:r>
      <w:r w:rsidR="00FE6950">
        <w:rPr>
          <w:rFonts w:ascii="Tahoma" w:hAnsi="Tahoma" w:cs="Tahoma"/>
          <w:sz w:val="24"/>
          <w:szCs w:val="24"/>
        </w:rPr>
        <w:t xml:space="preserve">trade and </w:t>
      </w:r>
      <w:r w:rsidR="00FE6950" w:rsidRPr="00897142">
        <w:rPr>
          <w:rFonts w:ascii="Tahoma" w:hAnsi="Tahoma" w:cs="Tahoma"/>
          <w:sz w:val="24"/>
          <w:szCs w:val="24"/>
        </w:rPr>
        <w:t>supply chains.</w:t>
      </w:r>
      <w:r w:rsidR="00292111">
        <w:rPr>
          <w:rFonts w:ascii="Tahoma" w:hAnsi="Tahoma" w:cs="Tahoma"/>
          <w:sz w:val="24"/>
          <w:szCs w:val="24"/>
        </w:rPr>
        <w:t xml:space="preserve"> </w:t>
      </w:r>
    </w:p>
    <w:p w:rsidR="00FE6950" w:rsidRDefault="00FE6950" w:rsidP="00FE6950">
      <w:pPr>
        <w:pStyle w:val="ListParagraph"/>
        <w:spacing w:after="160" w:line="360" w:lineRule="auto"/>
        <w:ind w:left="567"/>
        <w:jc w:val="both"/>
        <w:rPr>
          <w:rFonts w:ascii="Tahoma" w:hAnsi="Tahoma" w:cs="Tahoma"/>
          <w:sz w:val="24"/>
          <w:szCs w:val="24"/>
        </w:rPr>
      </w:pPr>
    </w:p>
    <w:p w:rsidR="004D5E0C" w:rsidRDefault="00292111" w:rsidP="004D5E0C">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U</w:t>
      </w:r>
      <w:r w:rsidR="004D5E0C">
        <w:rPr>
          <w:rFonts w:ascii="Tahoma" w:hAnsi="Tahoma" w:cs="Tahoma"/>
          <w:sz w:val="24"/>
          <w:szCs w:val="24"/>
        </w:rPr>
        <w:t xml:space="preserve">ncertainty about the United Kingdom’s departure from the European Union (Brexit) </w:t>
      </w:r>
      <w:r w:rsidRPr="00897142">
        <w:rPr>
          <w:rFonts w:ascii="Tahoma" w:hAnsi="Tahoma" w:cs="Tahoma"/>
          <w:sz w:val="24"/>
          <w:szCs w:val="24"/>
        </w:rPr>
        <w:t>remain heightened</w:t>
      </w:r>
      <w:r>
        <w:rPr>
          <w:rFonts w:ascii="Tahoma" w:hAnsi="Tahoma" w:cs="Tahoma"/>
          <w:sz w:val="24"/>
          <w:szCs w:val="24"/>
        </w:rPr>
        <w:t xml:space="preserve"> posing a number of risks </w:t>
      </w:r>
      <w:r w:rsidR="004D5E0C">
        <w:rPr>
          <w:rFonts w:ascii="Tahoma" w:hAnsi="Tahoma" w:cs="Tahoma"/>
          <w:sz w:val="24"/>
          <w:szCs w:val="24"/>
        </w:rPr>
        <w:t>to the Euro zone</w:t>
      </w:r>
      <w:r>
        <w:rPr>
          <w:rFonts w:ascii="Tahoma" w:hAnsi="Tahoma" w:cs="Tahoma"/>
          <w:sz w:val="24"/>
          <w:szCs w:val="24"/>
        </w:rPr>
        <w:t xml:space="preserve"> and the rest of the global economy</w:t>
      </w:r>
      <w:r w:rsidR="004D5E0C" w:rsidRPr="0093456D">
        <w:rPr>
          <w:rFonts w:ascii="Tahoma" w:hAnsi="Tahoma" w:cs="Tahoma"/>
          <w:sz w:val="24"/>
          <w:szCs w:val="24"/>
        </w:rPr>
        <w:t>. These developments represent a drag on global trade in general, and are also reflected in lower commodity prices.</w:t>
      </w:r>
    </w:p>
    <w:p w:rsidR="004D5E0C" w:rsidRDefault="004D5E0C" w:rsidP="004D5E0C">
      <w:pPr>
        <w:pStyle w:val="ListParagraph"/>
        <w:spacing w:line="360" w:lineRule="auto"/>
        <w:ind w:left="567"/>
        <w:jc w:val="both"/>
        <w:rPr>
          <w:rFonts w:ascii="Tahoma" w:hAnsi="Tahoma" w:cs="Tahoma"/>
          <w:sz w:val="24"/>
          <w:szCs w:val="24"/>
        </w:rPr>
      </w:pPr>
    </w:p>
    <w:p w:rsidR="00897142" w:rsidRDefault="00292111" w:rsidP="00897142">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 xml:space="preserve">In addition, </w:t>
      </w:r>
      <w:r w:rsidRPr="00897142">
        <w:rPr>
          <w:rFonts w:ascii="Tahoma" w:hAnsi="Tahoma" w:cs="Tahoma"/>
          <w:sz w:val="24"/>
          <w:szCs w:val="24"/>
        </w:rPr>
        <w:t xml:space="preserve">tightening </w:t>
      </w:r>
      <w:r>
        <w:rPr>
          <w:rFonts w:ascii="Tahoma" w:hAnsi="Tahoma" w:cs="Tahoma"/>
          <w:sz w:val="24"/>
          <w:szCs w:val="24"/>
        </w:rPr>
        <w:t xml:space="preserve">of </w:t>
      </w:r>
      <w:r w:rsidRPr="00897142">
        <w:rPr>
          <w:rFonts w:ascii="Tahoma" w:hAnsi="Tahoma" w:cs="Tahoma"/>
          <w:sz w:val="24"/>
          <w:szCs w:val="24"/>
        </w:rPr>
        <w:t xml:space="preserve">financial </w:t>
      </w:r>
      <w:r>
        <w:rPr>
          <w:rFonts w:ascii="Tahoma" w:hAnsi="Tahoma" w:cs="Tahoma"/>
          <w:sz w:val="24"/>
          <w:szCs w:val="24"/>
        </w:rPr>
        <w:t xml:space="preserve">conditions in response to </w:t>
      </w:r>
      <w:r w:rsidRPr="00897142">
        <w:rPr>
          <w:rFonts w:ascii="Tahoma" w:hAnsi="Tahoma" w:cs="Tahoma"/>
          <w:sz w:val="24"/>
          <w:szCs w:val="24"/>
        </w:rPr>
        <w:t>significant financial vulnerabilities associated with</w:t>
      </w:r>
      <w:r>
        <w:rPr>
          <w:rFonts w:ascii="Tahoma" w:hAnsi="Tahoma" w:cs="Tahoma"/>
          <w:sz w:val="24"/>
          <w:szCs w:val="24"/>
        </w:rPr>
        <w:t xml:space="preserve"> </w:t>
      </w:r>
      <w:r w:rsidRPr="00897142">
        <w:rPr>
          <w:rFonts w:ascii="Tahoma" w:hAnsi="Tahoma" w:cs="Tahoma"/>
          <w:sz w:val="24"/>
          <w:szCs w:val="24"/>
        </w:rPr>
        <w:t xml:space="preserve">large private and public sector debt in </w:t>
      </w:r>
      <w:r w:rsidR="00623E40">
        <w:rPr>
          <w:rFonts w:ascii="Tahoma" w:hAnsi="Tahoma" w:cs="Tahoma"/>
          <w:sz w:val="24"/>
          <w:szCs w:val="24"/>
        </w:rPr>
        <w:t xml:space="preserve">a number of developed, </w:t>
      </w:r>
      <w:r>
        <w:rPr>
          <w:rFonts w:ascii="Tahoma" w:hAnsi="Tahoma" w:cs="Tahoma"/>
          <w:sz w:val="24"/>
          <w:szCs w:val="24"/>
        </w:rPr>
        <w:t xml:space="preserve">emerging </w:t>
      </w:r>
      <w:r w:rsidR="00623E40">
        <w:rPr>
          <w:rFonts w:ascii="Tahoma" w:hAnsi="Tahoma" w:cs="Tahoma"/>
          <w:sz w:val="24"/>
          <w:szCs w:val="24"/>
        </w:rPr>
        <w:t xml:space="preserve">and developing </w:t>
      </w:r>
      <w:r>
        <w:rPr>
          <w:rFonts w:ascii="Tahoma" w:hAnsi="Tahoma" w:cs="Tahoma"/>
          <w:sz w:val="24"/>
          <w:szCs w:val="24"/>
        </w:rPr>
        <w:t>economies</w:t>
      </w:r>
      <w:r w:rsidR="00623E40">
        <w:rPr>
          <w:rFonts w:ascii="Tahoma" w:hAnsi="Tahoma" w:cs="Tahoma"/>
          <w:sz w:val="24"/>
          <w:szCs w:val="24"/>
        </w:rPr>
        <w:t xml:space="preserve"> restrain </w:t>
      </w:r>
      <w:r w:rsidR="00623E40" w:rsidRPr="00897142">
        <w:rPr>
          <w:rFonts w:ascii="Tahoma" w:hAnsi="Tahoma" w:cs="Tahoma"/>
          <w:sz w:val="24"/>
          <w:szCs w:val="24"/>
        </w:rPr>
        <w:t>global expansio</w:t>
      </w:r>
      <w:r w:rsidR="00623E40">
        <w:rPr>
          <w:rFonts w:ascii="Tahoma" w:hAnsi="Tahoma" w:cs="Tahoma"/>
          <w:sz w:val="24"/>
          <w:szCs w:val="24"/>
        </w:rPr>
        <w:t>n.</w:t>
      </w:r>
      <w:r>
        <w:rPr>
          <w:rFonts w:ascii="Tahoma" w:hAnsi="Tahoma" w:cs="Tahoma"/>
          <w:sz w:val="24"/>
          <w:szCs w:val="24"/>
        </w:rPr>
        <w:t xml:space="preserve"> </w:t>
      </w:r>
    </w:p>
    <w:p w:rsidR="00897142" w:rsidRDefault="00897142" w:rsidP="00897142">
      <w:pPr>
        <w:pStyle w:val="ListParagraph"/>
        <w:spacing w:after="160" w:line="360" w:lineRule="auto"/>
        <w:ind w:left="567"/>
        <w:jc w:val="both"/>
        <w:rPr>
          <w:rFonts w:ascii="Tahoma" w:hAnsi="Tahoma" w:cs="Tahoma"/>
          <w:sz w:val="24"/>
          <w:szCs w:val="24"/>
        </w:rPr>
      </w:pPr>
    </w:p>
    <w:p w:rsidR="004D5E0C" w:rsidRPr="0093456D" w:rsidRDefault="00623E40" w:rsidP="004D5E0C">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G</w:t>
      </w:r>
      <w:r w:rsidR="004D5E0C" w:rsidRPr="0093456D">
        <w:rPr>
          <w:rFonts w:ascii="Tahoma" w:hAnsi="Tahoma" w:cs="Tahoma"/>
          <w:sz w:val="24"/>
          <w:szCs w:val="24"/>
        </w:rPr>
        <w:t>lobal growth</w:t>
      </w:r>
      <w:r>
        <w:rPr>
          <w:rFonts w:ascii="Tahoma" w:hAnsi="Tahoma" w:cs="Tahoma"/>
          <w:sz w:val="24"/>
          <w:szCs w:val="24"/>
        </w:rPr>
        <w:t xml:space="preserve"> is, therefore, projected at</w:t>
      </w:r>
      <w:r w:rsidR="004D5E0C" w:rsidRPr="0093456D">
        <w:rPr>
          <w:rFonts w:ascii="Tahoma" w:hAnsi="Tahoma" w:cs="Tahoma"/>
          <w:sz w:val="24"/>
          <w:szCs w:val="24"/>
        </w:rPr>
        <w:t xml:space="preserve"> 3.3% for 2019, down from 3.6% in 2018.</w:t>
      </w:r>
    </w:p>
    <w:p w:rsidR="004D5E0C" w:rsidRPr="0093456D" w:rsidRDefault="004D5E0C" w:rsidP="004D5E0C">
      <w:pPr>
        <w:pStyle w:val="ListParagraph"/>
        <w:spacing w:line="360" w:lineRule="auto"/>
        <w:ind w:left="567"/>
        <w:jc w:val="both"/>
        <w:rPr>
          <w:rFonts w:ascii="Tahoma" w:hAnsi="Tahoma" w:cs="Tahoma"/>
          <w:sz w:val="24"/>
          <w:szCs w:val="24"/>
        </w:rPr>
      </w:pPr>
    </w:p>
    <w:p w:rsidR="004D5E0C" w:rsidRDefault="00623E40" w:rsidP="004D5E0C">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Similarly</w:t>
      </w:r>
      <w:r w:rsidR="004D5E0C" w:rsidRPr="0093456D">
        <w:rPr>
          <w:rFonts w:ascii="Tahoma" w:hAnsi="Tahoma" w:cs="Tahoma"/>
          <w:sz w:val="24"/>
          <w:szCs w:val="24"/>
        </w:rPr>
        <w:t xml:space="preserve">, regional growth prospects for sub-Saharan Africa </w:t>
      </w:r>
      <w:r>
        <w:rPr>
          <w:rFonts w:ascii="Tahoma" w:hAnsi="Tahoma" w:cs="Tahoma"/>
          <w:sz w:val="24"/>
          <w:szCs w:val="24"/>
        </w:rPr>
        <w:t xml:space="preserve">remain restricted at </w:t>
      </w:r>
      <w:r w:rsidR="00CD2E3A">
        <w:rPr>
          <w:rFonts w:ascii="Tahoma" w:hAnsi="Tahoma" w:cs="Tahoma"/>
          <w:sz w:val="24"/>
          <w:szCs w:val="24"/>
        </w:rPr>
        <w:t xml:space="preserve">levels </w:t>
      </w:r>
      <w:r>
        <w:rPr>
          <w:rFonts w:ascii="Tahoma" w:hAnsi="Tahoma" w:cs="Tahoma"/>
          <w:sz w:val="24"/>
          <w:szCs w:val="24"/>
        </w:rPr>
        <w:t xml:space="preserve">well below the </w:t>
      </w:r>
      <w:r w:rsidR="00CD2E3A">
        <w:rPr>
          <w:rFonts w:ascii="Tahoma" w:hAnsi="Tahoma" w:cs="Tahoma"/>
          <w:sz w:val="24"/>
          <w:szCs w:val="24"/>
        </w:rPr>
        <w:t xml:space="preserve">required </w:t>
      </w:r>
      <w:r>
        <w:rPr>
          <w:rFonts w:ascii="Tahoma" w:hAnsi="Tahoma" w:cs="Tahoma"/>
          <w:sz w:val="24"/>
          <w:szCs w:val="24"/>
        </w:rPr>
        <w:t xml:space="preserve">6% to deal with poverty. Notwithstanding relative macro stability in these countries through persistent fiscal consolidation reforms, </w:t>
      </w:r>
      <w:r w:rsidR="00CD2E3A">
        <w:rPr>
          <w:rFonts w:ascii="Tahoma" w:hAnsi="Tahoma" w:cs="Tahoma"/>
          <w:sz w:val="24"/>
          <w:szCs w:val="24"/>
        </w:rPr>
        <w:t xml:space="preserve">the </w:t>
      </w:r>
      <w:r>
        <w:rPr>
          <w:rFonts w:ascii="Tahoma" w:hAnsi="Tahoma" w:cs="Tahoma"/>
          <w:sz w:val="24"/>
          <w:szCs w:val="24"/>
        </w:rPr>
        <w:t xml:space="preserve">debt </w:t>
      </w:r>
      <w:r w:rsidR="00CD2E3A">
        <w:rPr>
          <w:rFonts w:ascii="Tahoma" w:hAnsi="Tahoma" w:cs="Tahoma"/>
          <w:sz w:val="24"/>
          <w:szCs w:val="24"/>
        </w:rPr>
        <w:t xml:space="preserve">ratios are worsening reaching an average of 45% by end of 2017 with more countries recording ratios above 60%. Moreso, most SSA borrowing is increasingly non-concessional </w:t>
      </w:r>
      <w:r w:rsidR="00734C59">
        <w:rPr>
          <w:rFonts w:ascii="Tahoma" w:hAnsi="Tahoma" w:cs="Tahoma"/>
          <w:sz w:val="24"/>
          <w:szCs w:val="24"/>
        </w:rPr>
        <w:t xml:space="preserve">(commercial) </w:t>
      </w:r>
      <w:r w:rsidR="00C7590B">
        <w:rPr>
          <w:rFonts w:ascii="Tahoma" w:hAnsi="Tahoma" w:cs="Tahoma"/>
          <w:sz w:val="24"/>
          <w:szCs w:val="24"/>
        </w:rPr>
        <w:t>against declining</w:t>
      </w:r>
      <w:r w:rsidR="00CD2E3A">
        <w:rPr>
          <w:rFonts w:ascii="Tahoma" w:hAnsi="Tahoma" w:cs="Tahoma"/>
          <w:sz w:val="24"/>
          <w:szCs w:val="24"/>
        </w:rPr>
        <w:t xml:space="preserve"> exports and hence, p</w:t>
      </w:r>
      <w:r w:rsidR="00A363E8">
        <w:rPr>
          <w:rFonts w:ascii="Tahoma" w:hAnsi="Tahoma" w:cs="Tahoma"/>
          <w:sz w:val="24"/>
          <w:szCs w:val="24"/>
        </w:rPr>
        <w:t>o</w:t>
      </w:r>
      <w:r w:rsidR="00CD2E3A">
        <w:rPr>
          <w:rFonts w:ascii="Tahoma" w:hAnsi="Tahoma" w:cs="Tahoma"/>
          <w:sz w:val="24"/>
          <w:szCs w:val="24"/>
        </w:rPr>
        <w:t xml:space="preserve">ses debt trap and exchange risks.  </w:t>
      </w:r>
    </w:p>
    <w:p w:rsidR="004D5E0C" w:rsidRDefault="004D5E0C" w:rsidP="004D5E0C">
      <w:pPr>
        <w:pStyle w:val="ListParagraph"/>
        <w:rPr>
          <w:rFonts w:ascii="Tahoma" w:hAnsi="Tahoma" w:cs="Tahoma"/>
          <w:sz w:val="24"/>
          <w:szCs w:val="24"/>
        </w:rPr>
      </w:pPr>
    </w:p>
    <w:p w:rsidR="004D5E0C" w:rsidRPr="0093456D" w:rsidRDefault="00CD2E3A" w:rsidP="004D5E0C">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 xml:space="preserve">SSA economies are, therefore, projected to grow by 3.5% in 2019. </w:t>
      </w:r>
      <w:r w:rsidR="004D5E0C">
        <w:rPr>
          <w:rFonts w:ascii="Tahoma" w:hAnsi="Tahoma" w:cs="Tahoma"/>
          <w:sz w:val="24"/>
          <w:szCs w:val="24"/>
        </w:rPr>
        <w:t>I will speak to our 2018 and 2019 growth profiles below.</w:t>
      </w:r>
    </w:p>
    <w:p w:rsidR="000416D0" w:rsidRDefault="000416D0" w:rsidP="004D5E0C">
      <w:pPr>
        <w:pStyle w:val="ListParagraph"/>
        <w:spacing w:after="160" w:line="360" w:lineRule="auto"/>
        <w:ind w:left="567"/>
        <w:jc w:val="both"/>
        <w:rPr>
          <w:rFonts w:ascii="Tahoma" w:hAnsi="Tahoma" w:cs="Tahoma"/>
          <w:noProof/>
          <w:sz w:val="24"/>
          <w:szCs w:val="24"/>
        </w:rPr>
      </w:pPr>
    </w:p>
    <w:p w:rsidR="000416D0" w:rsidRPr="004D5E0C" w:rsidRDefault="004D5E0C" w:rsidP="004D5E0C">
      <w:pPr>
        <w:pStyle w:val="Heading2"/>
        <w:ind w:left="567"/>
        <w:rPr>
          <w:noProof/>
          <w:sz w:val="24"/>
          <w:szCs w:val="24"/>
        </w:rPr>
      </w:pPr>
      <w:r w:rsidRPr="004D5E0C">
        <w:rPr>
          <w:noProof/>
          <w:sz w:val="24"/>
          <w:szCs w:val="24"/>
        </w:rPr>
        <w:t>STATE OF THE ECONOMY</w:t>
      </w:r>
    </w:p>
    <w:p w:rsidR="004D5E0C" w:rsidRDefault="004D5E0C" w:rsidP="0059259D">
      <w:pPr>
        <w:spacing w:line="360" w:lineRule="auto"/>
        <w:jc w:val="both"/>
        <w:rPr>
          <w:rFonts w:ascii="Tahoma" w:eastAsia="Calibri" w:hAnsi="Tahoma" w:cs="Tahoma"/>
          <w:sz w:val="24"/>
          <w:szCs w:val="24"/>
          <w:lang w:val="en-ZW"/>
        </w:rPr>
      </w:pPr>
    </w:p>
    <w:p w:rsidR="00B95A80" w:rsidRDefault="00B139DF" w:rsidP="00B44CB2">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 xml:space="preserve">Beginning 2019, Government, in earnest started implementing the </w:t>
      </w:r>
      <w:r w:rsidR="00B95A80">
        <w:rPr>
          <w:rFonts w:ascii="Tahoma" w:hAnsi="Tahoma" w:cs="Tahoma"/>
          <w:sz w:val="24"/>
          <w:szCs w:val="24"/>
        </w:rPr>
        <w:t xml:space="preserve">Transitional Stabilisation Programme (Oct 2018 - Dec 2020) through the 2019 National Budget, with sharper focus on fiscal, monetary and structural policy reforms for stabilisation and stimulation of growth. </w:t>
      </w:r>
    </w:p>
    <w:p w:rsidR="00B95A80" w:rsidRDefault="00B95A80" w:rsidP="00B95A80">
      <w:pPr>
        <w:pStyle w:val="ListParagraph"/>
        <w:spacing w:after="160" w:line="360" w:lineRule="auto"/>
        <w:ind w:left="567"/>
        <w:jc w:val="both"/>
        <w:rPr>
          <w:rFonts w:ascii="Tahoma" w:hAnsi="Tahoma" w:cs="Tahoma"/>
          <w:sz w:val="24"/>
          <w:szCs w:val="24"/>
        </w:rPr>
      </w:pPr>
    </w:p>
    <w:p w:rsidR="00B95A80" w:rsidRDefault="00B95A80" w:rsidP="00B44CB2">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 xml:space="preserve">These initial interventions were, however, confronted by an environment with severe economic shocks, which started from the last quarter of 2018. </w:t>
      </w:r>
      <w:r w:rsidR="00BB0034">
        <w:rPr>
          <w:rFonts w:ascii="Tahoma" w:hAnsi="Tahoma" w:cs="Tahoma"/>
          <w:sz w:val="24"/>
          <w:szCs w:val="24"/>
        </w:rPr>
        <w:t xml:space="preserve">The situation was further </w:t>
      </w:r>
      <w:r>
        <w:rPr>
          <w:rFonts w:ascii="Tahoma" w:hAnsi="Tahoma" w:cs="Tahoma"/>
          <w:sz w:val="24"/>
          <w:szCs w:val="24"/>
        </w:rPr>
        <w:t>heightened</w:t>
      </w:r>
      <w:r w:rsidR="00BB0034">
        <w:rPr>
          <w:rFonts w:ascii="Tahoma" w:hAnsi="Tahoma" w:cs="Tahoma"/>
          <w:sz w:val="24"/>
          <w:szCs w:val="24"/>
        </w:rPr>
        <w:t xml:space="preserve"> by drought conditions and the impact of Cyclone Idai, which all </w:t>
      </w:r>
      <w:r>
        <w:rPr>
          <w:rFonts w:ascii="Tahoma" w:hAnsi="Tahoma" w:cs="Tahoma"/>
          <w:sz w:val="24"/>
          <w:szCs w:val="24"/>
        </w:rPr>
        <w:t xml:space="preserve">imposed serious threat to </w:t>
      </w:r>
      <w:r w:rsidR="00BB0034">
        <w:rPr>
          <w:rFonts w:ascii="Tahoma" w:hAnsi="Tahoma" w:cs="Tahoma"/>
          <w:sz w:val="24"/>
          <w:szCs w:val="24"/>
        </w:rPr>
        <w:t>growth</w:t>
      </w:r>
      <w:r>
        <w:rPr>
          <w:rFonts w:ascii="Tahoma" w:hAnsi="Tahoma" w:cs="Tahoma"/>
          <w:sz w:val="24"/>
          <w:szCs w:val="24"/>
        </w:rPr>
        <w:t xml:space="preserve">, initially projected at 3.1% for 2019. </w:t>
      </w:r>
    </w:p>
    <w:p w:rsidR="00B95A80" w:rsidRPr="00B95A80" w:rsidRDefault="00B95A80" w:rsidP="00B95A80">
      <w:pPr>
        <w:pStyle w:val="ListParagraph"/>
        <w:rPr>
          <w:rFonts w:ascii="Tahoma" w:hAnsi="Tahoma" w:cs="Tahoma"/>
          <w:sz w:val="24"/>
          <w:szCs w:val="24"/>
        </w:rPr>
      </w:pPr>
    </w:p>
    <w:p w:rsidR="00BB0034" w:rsidRDefault="00BB0034" w:rsidP="00B44CB2">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 xml:space="preserve">However, </w:t>
      </w:r>
      <w:r w:rsidR="00EE5C2C">
        <w:rPr>
          <w:rFonts w:ascii="Tahoma" w:hAnsi="Tahoma" w:cs="Tahoma"/>
          <w:sz w:val="24"/>
          <w:szCs w:val="24"/>
        </w:rPr>
        <w:t xml:space="preserve">the </w:t>
      </w:r>
      <w:r>
        <w:rPr>
          <w:rFonts w:ascii="Tahoma" w:hAnsi="Tahoma" w:cs="Tahoma"/>
          <w:sz w:val="24"/>
          <w:szCs w:val="24"/>
        </w:rPr>
        <w:t xml:space="preserve">deep reforms </w:t>
      </w:r>
      <w:r w:rsidR="002A2F72">
        <w:rPr>
          <w:rFonts w:ascii="Tahoma" w:hAnsi="Tahoma" w:cs="Tahoma"/>
          <w:sz w:val="24"/>
          <w:szCs w:val="24"/>
        </w:rPr>
        <w:t xml:space="preserve">introduced </w:t>
      </w:r>
      <w:r>
        <w:rPr>
          <w:rFonts w:ascii="Tahoma" w:hAnsi="Tahoma" w:cs="Tahoma"/>
          <w:sz w:val="24"/>
          <w:szCs w:val="24"/>
        </w:rPr>
        <w:t xml:space="preserve">under the Transitional Stabilisation Programme </w:t>
      </w:r>
      <w:r w:rsidR="002A2F72">
        <w:rPr>
          <w:rFonts w:ascii="Tahoma" w:hAnsi="Tahoma" w:cs="Tahoma"/>
          <w:sz w:val="24"/>
          <w:szCs w:val="24"/>
        </w:rPr>
        <w:t xml:space="preserve">are cushioning the economy from much higher deterioration and in some instances </w:t>
      </w:r>
      <w:r w:rsidR="00E53159">
        <w:rPr>
          <w:rFonts w:ascii="Tahoma" w:hAnsi="Tahoma" w:cs="Tahoma"/>
          <w:sz w:val="24"/>
          <w:szCs w:val="24"/>
        </w:rPr>
        <w:t xml:space="preserve">have started </w:t>
      </w:r>
      <w:r w:rsidR="002A2F72">
        <w:rPr>
          <w:rFonts w:ascii="Tahoma" w:hAnsi="Tahoma" w:cs="Tahoma"/>
          <w:sz w:val="24"/>
          <w:szCs w:val="24"/>
        </w:rPr>
        <w:t>giving dividends</w:t>
      </w:r>
      <w:r>
        <w:rPr>
          <w:rFonts w:ascii="Tahoma" w:hAnsi="Tahoma" w:cs="Tahoma"/>
          <w:sz w:val="24"/>
          <w:szCs w:val="24"/>
        </w:rPr>
        <w:t>.</w:t>
      </w:r>
    </w:p>
    <w:p w:rsidR="00BB0034" w:rsidRDefault="00BB0034" w:rsidP="00BB0034">
      <w:pPr>
        <w:pStyle w:val="ListParagraph"/>
        <w:spacing w:after="160" w:line="360" w:lineRule="auto"/>
        <w:ind w:left="567"/>
        <w:jc w:val="both"/>
        <w:rPr>
          <w:rFonts w:ascii="Tahoma" w:hAnsi="Tahoma" w:cs="Tahoma"/>
          <w:sz w:val="24"/>
          <w:szCs w:val="24"/>
        </w:rPr>
      </w:pPr>
    </w:p>
    <w:p w:rsidR="00734C59" w:rsidRDefault="00734C59" w:rsidP="00B44CB2">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In particular, the stance to tackle head on the twin deficit challenge has been a reality.</w:t>
      </w:r>
    </w:p>
    <w:p w:rsidR="00734C59" w:rsidRPr="00734C59" w:rsidRDefault="00734C59" w:rsidP="00734C59">
      <w:pPr>
        <w:pStyle w:val="ListParagraph"/>
        <w:rPr>
          <w:rFonts w:ascii="Tahoma" w:hAnsi="Tahoma" w:cs="Tahoma"/>
          <w:sz w:val="24"/>
          <w:szCs w:val="24"/>
        </w:rPr>
      </w:pPr>
    </w:p>
    <w:p w:rsidR="00FD7BA5" w:rsidRDefault="00E53159" w:rsidP="00B44CB2">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 xml:space="preserve">On a positive note, there is marked improved performance on </w:t>
      </w:r>
      <w:r w:rsidR="005928C9">
        <w:rPr>
          <w:rFonts w:ascii="Tahoma" w:hAnsi="Tahoma" w:cs="Tahoma"/>
          <w:sz w:val="24"/>
          <w:szCs w:val="24"/>
        </w:rPr>
        <w:t>Central Government finances</w:t>
      </w:r>
      <w:r w:rsidR="009178C8">
        <w:rPr>
          <w:rFonts w:ascii="Tahoma" w:hAnsi="Tahoma" w:cs="Tahoma"/>
          <w:sz w:val="24"/>
          <w:szCs w:val="24"/>
        </w:rPr>
        <w:t>,</w:t>
      </w:r>
      <w:r w:rsidR="005928C9">
        <w:rPr>
          <w:rFonts w:ascii="Tahoma" w:hAnsi="Tahoma" w:cs="Tahoma"/>
          <w:sz w:val="24"/>
          <w:szCs w:val="24"/>
        </w:rPr>
        <w:t xml:space="preserve"> </w:t>
      </w:r>
      <w:r>
        <w:rPr>
          <w:rFonts w:ascii="Tahoma" w:hAnsi="Tahoma" w:cs="Tahoma"/>
          <w:sz w:val="24"/>
          <w:szCs w:val="24"/>
        </w:rPr>
        <w:t xml:space="preserve">with </w:t>
      </w:r>
      <w:r w:rsidR="005928C9">
        <w:rPr>
          <w:rFonts w:ascii="Tahoma" w:hAnsi="Tahoma" w:cs="Tahoma"/>
          <w:sz w:val="24"/>
          <w:szCs w:val="24"/>
        </w:rPr>
        <w:t xml:space="preserve">revenues </w:t>
      </w:r>
      <w:r w:rsidR="00FD7BA5">
        <w:rPr>
          <w:rFonts w:ascii="Tahoma" w:hAnsi="Tahoma" w:cs="Tahoma"/>
          <w:sz w:val="24"/>
          <w:szCs w:val="24"/>
        </w:rPr>
        <w:t xml:space="preserve">at </w:t>
      </w:r>
      <w:r w:rsidR="00FD7BA5" w:rsidRPr="00E53159">
        <w:rPr>
          <w:rFonts w:ascii="Tahoma" w:hAnsi="Tahoma" w:cs="Tahoma"/>
          <w:sz w:val="24"/>
          <w:szCs w:val="24"/>
        </w:rPr>
        <w:t>RTGS$1.9 billion</w:t>
      </w:r>
      <w:r w:rsidR="00FD7BA5">
        <w:rPr>
          <w:rFonts w:ascii="Tahoma" w:hAnsi="Tahoma" w:cs="Tahoma"/>
          <w:sz w:val="24"/>
          <w:szCs w:val="24"/>
        </w:rPr>
        <w:t xml:space="preserve"> </w:t>
      </w:r>
      <w:r>
        <w:rPr>
          <w:rFonts w:ascii="Tahoma" w:hAnsi="Tahoma" w:cs="Tahoma"/>
          <w:sz w:val="24"/>
          <w:szCs w:val="24"/>
        </w:rPr>
        <w:t>outperforming target</w:t>
      </w:r>
      <w:r w:rsidR="00FD7BA5">
        <w:rPr>
          <w:rFonts w:ascii="Tahoma" w:hAnsi="Tahoma" w:cs="Tahoma"/>
          <w:sz w:val="24"/>
          <w:szCs w:val="24"/>
        </w:rPr>
        <w:t xml:space="preserve"> (RTGS$1.8 billion)</w:t>
      </w:r>
      <w:r w:rsidR="005928C9">
        <w:rPr>
          <w:rFonts w:ascii="Tahoma" w:hAnsi="Tahoma" w:cs="Tahoma"/>
          <w:sz w:val="24"/>
          <w:szCs w:val="24"/>
        </w:rPr>
        <w:t xml:space="preserve"> throughout</w:t>
      </w:r>
      <w:r w:rsidR="00682070">
        <w:rPr>
          <w:rFonts w:ascii="Tahoma" w:hAnsi="Tahoma" w:cs="Tahoma"/>
          <w:sz w:val="24"/>
          <w:szCs w:val="24"/>
        </w:rPr>
        <w:t xml:space="preserve"> the </w:t>
      </w:r>
      <w:r>
        <w:rPr>
          <w:rFonts w:ascii="Tahoma" w:hAnsi="Tahoma" w:cs="Tahoma"/>
          <w:sz w:val="24"/>
          <w:szCs w:val="24"/>
        </w:rPr>
        <w:t xml:space="preserve">first </w:t>
      </w:r>
      <w:r w:rsidR="00682070">
        <w:rPr>
          <w:rFonts w:ascii="Tahoma" w:hAnsi="Tahoma" w:cs="Tahoma"/>
          <w:sz w:val="24"/>
          <w:szCs w:val="24"/>
        </w:rPr>
        <w:t>quarter</w:t>
      </w:r>
      <w:r>
        <w:rPr>
          <w:rFonts w:ascii="Tahoma" w:hAnsi="Tahoma" w:cs="Tahoma"/>
          <w:sz w:val="24"/>
          <w:szCs w:val="24"/>
        </w:rPr>
        <w:t xml:space="preserve"> of 2019</w:t>
      </w:r>
      <w:r w:rsidR="00682070">
        <w:rPr>
          <w:rFonts w:ascii="Tahoma" w:hAnsi="Tahoma" w:cs="Tahoma"/>
          <w:sz w:val="24"/>
          <w:szCs w:val="24"/>
        </w:rPr>
        <w:t>, to give overall positive variance of RTGS$</w:t>
      </w:r>
      <w:r w:rsidR="00FD7BA5">
        <w:rPr>
          <w:rFonts w:ascii="Tahoma" w:hAnsi="Tahoma" w:cs="Tahoma"/>
          <w:sz w:val="24"/>
          <w:szCs w:val="24"/>
        </w:rPr>
        <w:t>146 million. On the other hand, expenditures were contained at RTGS$1.5 billion against a target of RTGS$1.7 billion to give savings of RTGS$218.9 million.</w:t>
      </w:r>
      <w:r w:rsidR="00682070">
        <w:rPr>
          <w:rFonts w:ascii="Tahoma" w:hAnsi="Tahoma" w:cs="Tahoma"/>
          <w:sz w:val="24"/>
          <w:szCs w:val="24"/>
        </w:rPr>
        <w:t xml:space="preserve"> </w:t>
      </w:r>
      <w:r>
        <w:rPr>
          <w:rFonts w:ascii="Tahoma" w:hAnsi="Tahoma" w:cs="Tahoma"/>
          <w:sz w:val="24"/>
          <w:szCs w:val="24"/>
        </w:rPr>
        <w:t xml:space="preserve">This, as a result gave </w:t>
      </w:r>
      <w:r w:rsidR="00FD7BA5">
        <w:rPr>
          <w:rFonts w:ascii="Tahoma" w:hAnsi="Tahoma" w:cs="Tahoma"/>
          <w:sz w:val="24"/>
          <w:szCs w:val="24"/>
        </w:rPr>
        <w:t xml:space="preserve">a budget surplus of RTGS$443.1 million. </w:t>
      </w:r>
    </w:p>
    <w:p w:rsidR="00FD7BA5" w:rsidRPr="00FD7BA5" w:rsidRDefault="00FD7BA5" w:rsidP="00FD7BA5">
      <w:pPr>
        <w:pStyle w:val="ListParagraph"/>
        <w:rPr>
          <w:rFonts w:ascii="Tahoma" w:hAnsi="Tahoma" w:cs="Tahoma"/>
          <w:sz w:val="24"/>
          <w:szCs w:val="24"/>
        </w:rPr>
      </w:pPr>
    </w:p>
    <w:p w:rsidR="00F143F0" w:rsidRDefault="00F143F0" w:rsidP="006F6CCF">
      <w:pPr>
        <w:pStyle w:val="ListParagraph"/>
        <w:numPr>
          <w:ilvl w:val="0"/>
          <w:numId w:val="1"/>
        </w:numPr>
        <w:spacing w:after="160" w:line="360" w:lineRule="auto"/>
        <w:ind w:left="567" w:hanging="567"/>
        <w:jc w:val="both"/>
        <w:rPr>
          <w:rFonts w:ascii="Tahoma" w:hAnsi="Tahoma" w:cs="Tahoma"/>
          <w:noProof/>
          <w:sz w:val="24"/>
          <w:szCs w:val="24"/>
        </w:rPr>
      </w:pPr>
      <w:r w:rsidRPr="00F143F0">
        <w:rPr>
          <w:rFonts w:ascii="Tahoma" w:hAnsi="Tahoma" w:cs="Tahoma"/>
          <w:sz w:val="24"/>
          <w:szCs w:val="24"/>
        </w:rPr>
        <w:t>With regards to p</w:t>
      </w:r>
      <w:r w:rsidR="00FD7BA5" w:rsidRPr="00F143F0">
        <w:rPr>
          <w:rFonts w:ascii="Tahoma" w:hAnsi="Tahoma" w:cs="Tahoma"/>
          <w:sz w:val="24"/>
          <w:szCs w:val="24"/>
        </w:rPr>
        <w:t xml:space="preserve">rices, </w:t>
      </w:r>
      <w:r w:rsidR="00E53159" w:rsidRPr="00F143F0">
        <w:rPr>
          <w:rFonts w:ascii="Tahoma" w:hAnsi="Tahoma" w:cs="Tahoma"/>
          <w:noProof/>
          <w:sz w:val="24"/>
          <w:szCs w:val="24"/>
        </w:rPr>
        <w:t>fiscal consolidation</w:t>
      </w:r>
      <w:r w:rsidR="00E53159">
        <w:rPr>
          <w:rFonts w:ascii="Tahoma" w:hAnsi="Tahoma" w:cs="Tahoma"/>
          <w:noProof/>
          <w:sz w:val="24"/>
          <w:szCs w:val="24"/>
        </w:rPr>
        <w:t xml:space="preserve"> measures, reinforced with a </w:t>
      </w:r>
      <w:r w:rsidR="00E53159" w:rsidRPr="00F143F0">
        <w:rPr>
          <w:rFonts w:ascii="Tahoma" w:hAnsi="Tahoma" w:cs="Tahoma"/>
          <w:noProof/>
          <w:sz w:val="24"/>
          <w:szCs w:val="24"/>
        </w:rPr>
        <w:t xml:space="preserve">tight monetary policy </w:t>
      </w:r>
      <w:r w:rsidR="00E53159">
        <w:rPr>
          <w:rFonts w:ascii="Tahoma" w:hAnsi="Tahoma" w:cs="Tahoma"/>
          <w:noProof/>
          <w:sz w:val="24"/>
          <w:szCs w:val="24"/>
        </w:rPr>
        <w:t>stance together with</w:t>
      </w:r>
      <w:r w:rsidR="00E53159" w:rsidRPr="00F143F0">
        <w:rPr>
          <w:rFonts w:ascii="Tahoma" w:hAnsi="Tahoma" w:cs="Tahoma"/>
          <w:noProof/>
          <w:sz w:val="24"/>
          <w:szCs w:val="24"/>
        </w:rPr>
        <w:t xml:space="preserve"> </w:t>
      </w:r>
      <w:r w:rsidR="00E53159">
        <w:rPr>
          <w:rFonts w:ascii="Tahoma" w:hAnsi="Tahoma" w:cs="Tahoma"/>
          <w:sz w:val="24"/>
          <w:szCs w:val="24"/>
        </w:rPr>
        <w:t xml:space="preserve">the </w:t>
      </w:r>
      <w:r w:rsidR="00E53159" w:rsidRPr="00F143F0">
        <w:rPr>
          <w:rFonts w:ascii="Tahoma" w:hAnsi="Tahoma" w:cs="Tahoma"/>
          <w:noProof/>
          <w:sz w:val="24"/>
          <w:szCs w:val="24"/>
        </w:rPr>
        <w:t xml:space="preserve">liberalisation of the exchange rate, </w:t>
      </w:r>
      <w:r w:rsidR="00E53159">
        <w:rPr>
          <w:rFonts w:ascii="Tahoma" w:hAnsi="Tahoma" w:cs="Tahoma"/>
          <w:noProof/>
          <w:sz w:val="24"/>
          <w:szCs w:val="24"/>
        </w:rPr>
        <w:t xml:space="preserve">are containing </w:t>
      </w:r>
      <w:r w:rsidRPr="00F143F0">
        <w:rPr>
          <w:rFonts w:ascii="Tahoma" w:hAnsi="Tahoma" w:cs="Tahoma"/>
          <w:sz w:val="24"/>
          <w:szCs w:val="24"/>
        </w:rPr>
        <w:t>inflationary pressures</w:t>
      </w:r>
      <w:r w:rsidR="00E53159">
        <w:rPr>
          <w:rFonts w:ascii="Tahoma" w:hAnsi="Tahoma" w:cs="Tahoma"/>
          <w:sz w:val="24"/>
          <w:szCs w:val="24"/>
        </w:rPr>
        <w:t>,</w:t>
      </w:r>
      <w:r w:rsidRPr="00F143F0">
        <w:rPr>
          <w:rFonts w:ascii="Tahoma" w:hAnsi="Tahoma" w:cs="Tahoma"/>
          <w:sz w:val="24"/>
          <w:szCs w:val="24"/>
        </w:rPr>
        <w:t xml:space="preserve"> </w:t>
      </w:r>
      <w:r w:rsidR="00E53159">
        <w:rPr>
          <w:rFonts w:ascii="Tahoma" w:hAnsi="Tahoma" w:cs="Tahoma"/>
          <w:sz w:val="24"/>
          <w:szCs w:val="24"/>
        </w:rPr>
        <w:t xml:space="preserve">which although still </w:t>
      </w:r>
      <w:r w:rsidR="00FD7BA5" w:rsidRPr="00F143F0">
        <w:rPr>
          <w:rFonts w:ascii="Tahoma" w:hAnsi="Tahoma" w:cs="Tahoma"/>
          <w:sz w:val="24"/>
          <w:szCs w:val="24"/>
        </w:rPr>
        <w:t xml:space="preserve">relatively high, </w:t>
      </w:r>
      <w:r w:rsidR="00E53159">
        <w:rPr>
          <w:rFonts w:ascii="Tahoma" w:hAnsi="Tahoma" w:cs="Tahoma"/>
          <w:sz w:val="24"/>
          <w:szCs w:val="24"/>
        </w:rPr>
        <w:t xml:space="preserve">are </w:t>
      </w:r>
      <w:r w:rsidRPr="00F143F0">
        <w:rPr>
          <w:rFonts w:ascii="Tahoma" w:hAnsi="Tahoma" w:cs="Tahoma"/>
          <w:sz w:val="24"/>
          <w:szCs w:val="24"/>
        </w:rPr>
        <w:t>slowing</w:t>
      </w:r>
      <w:r w:rsidR="00FD7BA5" w:rsidRPr="00F143F0">
        <w:rPr>
          <w:rFonts w:ascii="Tahoma" w:hAnsi="Tahoma" w:cs="Tahoma"/>
          <w:sz w:val="24"/>
          <w:szCs w:val="24"/>
        </w:rPr>
        <w:t xml:space="preserve"> down compared to the previous quarter</w:t>
      </w:r>
      <w:r w:rsidR="00E53159">
        <w:rPr>
          <w:rFonts w:ascii="Tahoma" w:hAnsi="Tahoma" w:cs="Tahoma"/>
          <w:sz w:val="24"/>
          <w:szCs w:val="24"/>
        </w:rPr>
        <w:t>.</w:t>
      </w:r>
    </w:p>
    <w:p w:rsidR="00F143F0" w:rsidRPr="00F143F0" w:rsidRDefault="00F143F0" w:rsidP="00F143F0">
      <w:pPr>
        <w:pStyle w:val="ListParagraph"/>
        <w:rPr>
          <w:rFonts w:ascii="Tahoma" w:hAnsi="Tahoma" w:cs="Tahoma"/>
          <w:noProof/>
          <w:sz w:val="24"/>
          <w:szCs w:val="24"/>
        </w:rPr>
      </w:pPr>
    </w:p>
    <w:p w:rsidR="009178C8" w:rsidRDefault="0072299B" w:rsidP="006F6CCF">
      <w:pPr>
        <w:pStyle w:val="ListParagraph"/>
        <w:numPr>
          <w:ilvl w:val="0"/>
          <w:numId w:val="1"/>
        </w:numPr>
        <w:spacing w:after="160" w:line="360" w:lineRule="auto"/>
        <w:ind w:left="567" w:hanging="567"/>
        <w:jc w:val="both"/>
        <w:rPr>
          <w:rFonts w:ascii="Tahoma" w:hAnsi="Tahoma" w:cs="Tahoma"/>
          <w:noProof/>
          <w:sz w:val="24"/>
          <w:szCs w:val="24"/>
        </w:rPr>
      </w:pPr>
      <w:r>
        <w:rPr>
          <w:rFonts w:ascii="Tahoma" w:hAnsi="Tahoma" w:cs="Tahoma"/>
          <w:noProof/>
          <w:sz w:val="24"/>
          <w:szCs w:val="24"/>
        </w:rPr>
        <w:t>Widespread</w:t>
      </w:r>
      <w:r w:rsidR="00E53159">
        <w:rPr>
          <w:rFonts w:ascii="Tahoma" w:hAnsi="Tahoma" w:cs="Tahoma"/>
          <w:noProof/>
          <w:sz w:val="24"/>
          <w:szCs w:val="24"/>
        </w:rPr>
        <w:t xml:space="preserve"> </w:t>
      </w:r>
      <w:r>
        <w:rPr>
          <w:rFonts w:ascii="Tahoma" w:hAnsi="Tahoma" w:cs="Tahoma"/>
          <w:noProof/>
          <w:sz w:val="24"/>
          <w:szCs w:val="24"/>
        </w:rPr>
        <w:t>indi</w:t>
      </w:r>
      <w:r w:rsidR="00E53159">
        <w:rPr>
          <w:rFonts w:ascii="Tahoma" w:hAnsi="Tahoma" w:cs="Tahoma"/>
          <w:noProof/>
          <w:sz w:val="24"/>
          <w:szCs w:val="24"/>
        </w:rPr>
        <w:t xml:space="preserve">scipline in the foreign exchange market </w:t>
      </w:r>
      <w:r>
        <w:rPr>
          <w:rFonts w:ascii="Tahoma" w:hAnsi="Tahoma" w:cs="Tahoma"/>
          <w:noProof/>
          <w:sz w:val="24"/>
          <w:szCs w:val="24"/>
        </w:rPr>
        <w:t xml:space="preserve">is also a </w:t>
      </w:r>
      <w:r w:rsidRPr="00F143F0">
        <w:rPr>
          <w:rFonts w:ascii="Tahoma" w:hAnsi="Tahoma" w:cs="Tahoma"/>
          <w:sz w:val="24"/>
          <w:szCs w:val="24"/>
        </w:rPr>
        <w:t>major source</w:t>
      </w:r>
      <w:r>
        <w:rPr>
          <w:rFonts w:ascii="Tahoma" w:hAnsi="Tahoma" w:cs="Tahoma"/>
          <w:sz w:val="24"/>
          <w:szCs w:val="24"/>
        </w:rPr>
        <w:t xml:space="preserve"> for </w:t>
      </w:r>
      <w:r w:rsidR="009178C8" w:rsidRPr="00F143F0">
        <w:rPr>
          <w:rFonts w:ascii="Tahoma" w:hAnsi="Tahoma" w:cs="Tahoma"/>
          <w:sz w:val="24"/>
          <w:szCs w:val="24"/>
        </w:rPr>
        <w:t>parallel e</w:t>
      </w:r>
      <w:r w:rsidR="00F143F0">
        <w:rPr>
          <w:rFonts w:ascii="Tahoma" w:hAnsi="Tahoma" w:cs="Tahoma"/>
          <w:sz w:val="24"/>
          <w:szCs w:val="24"/>
        </w:rPr>
        <w:t>xchange market premiums</w:t>
      </w:r>
      <w:r>
        <w:rPr>
          <w:rFonts w:ascii="Tahoma" w:hAnsi="Tahoma" w:cs="Tahoma"/>
          <w:sz w:val="24"/>
          <w:szCs w:val="24"/>
        </w:rPr>
        <w:t xml:space="preserve"> feeding into </w:t>
      </w:r>
      <w:r w:rsidR="009178C8" w:rsidRPr="00F143F0">
        <w:rPr>
          <w:rFonts w:ascii="Tahoma" w:hAnsi="Tahoma" w:cs="Tahoma"/>
          <w:sz w:val="24"/>
          <w:szCs w:val="24"/>
        </w:rPr>
        <w:t>inflation</w:t>
      </w:r>
      <w:r>
        <w:rPr>
          <w:rFonts w:ascii="Tahoma" w:hAnsi="Tahoma" w:cs="Tahoma"/>
          <w:sz w:val="24"/>
          <w:szCs w:val="24"/>
        </w:rPr>
        <w:t>.</w:t>
      </w:r>
      <w:r w:rsidR="009178C8" w:rsidRPr="00F143F0">
        <w:rPr>
          <w:rFonts w:ascii="Tahoma" w:hAnsi="Tahoma" w:cs="Tahoma"/>
          <w:sz w:val="24"/>
          <w:szCs w:val="24"/>
        </w:rPr>
        <w:t xml:space="preserve"> </w:t>
      </w:r>
    </w:p>
    <w:p w:rsidR="00E261E1" w:rsidRPr="00E261E1" w:rsidRDefault="00E261E1" w:rsidP="00E261E1">
      <w:pPr>
        <w:pStyle w:val="ListParagraph"/>
        <w:rPr>
          <w:rFonts w:ascii="Tahoma" w:hAnsi="Tahoma" w:cs="Tahoma"/>
          <w:noProof/>
          <w:sz w:val="24"/>
          <w:szCs w:val="24"/>
        </w:rPr>
      </w:pPr>
    </w:p>
    <w:p w:rsidR="00452766" w:rsidRPr="00C24791" w:rsidRDefault="00452766" w:rsidP="00452766">
      <w:pPr>
        <w:spacing w:after="0" w:line="360" w:lineRule="auto"/>
        <w:ind w:firstLine="567"/>
        <w:jc w:val="both"/>
        <w:rPr>
          <w:rFonts w:ascii="Tahoma" w:hAnsi="Tahoma" w:cs="Tahoma"/>
          <w:b/>
          <w:sz w:val="24"/>
          <w:szCs w:val="24"/>
        </w:rPr>
      </w:pPr>
      <w:r w:rsidRPr="00C24791">
        <w:rPr>
          <w:rFonts w:ascii="Tahoma" w:hAnsi="Tahoma" w:cs="Tahoma"/>
          <w:b/>
          <w:sz w:val="24"/>
          <w:szCs w:val="24"/>
        </w:rPr>
        <w:t>GROSS DOMESTIC PRODUCT (GDP)</w:t>
      </w:r>
      <w:r>
        <w:rPr>
          <w:rFonts w:ascii="Tahoma" w:hAnsi="Tahoma" w:cs="Tahoma"/>
          <w:b/>
          <w:sz w:val="24"/>
          <w:szCs w:val="24"/>
        </w:rPr>
        <w:t xml:space="preserve"> &amp; </w:t>
      </w:r>
      <w:r w:rsidRPr="00C24791">
        <w:rPr>
          <w:rFonts w:ascii="Tahoma" w:hAnsi="Tahoma" w:cs="Tahoma"/>
          <w:b/>
          <w:sz w:val="24"/>
          <w:szCs w:val="24"/>
        </w:rPr>
        <w:t xml:space="preserve">CALIBRATION </w:t>
      </w:r>
    </w:p>
    <w:p w:rsidR="0072299B" w:rsidRPr="00F143F0" w:rsidRDefault="0072299B" w:rsidP="00F143F0">
      <w:pPr>
        <w:pStyle w:val="ListParagraph"/>
        <w:rPr>
          <w:rFonts w:ascii="Tahoma" w:hAnsi="Tahoma" w:cs="Tahoma"/>
          <w:noProof/>
          <w:sz w:val="24"/>
          <w:szCs w:val="24"/>
        </w:rPr>
      </w:pPr>
    </w:p>
    <w:p w:rsidR="009675FA" w:rsidRPr="00C24791" w:rsidRDefault="00452766" w:rsidP="0072299B">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Honourable Members will recall that d</w:t>
      </w:r>
      <w:r w:rsidR="009675FA" w:rsidRPr="00C24791">
        <w:rPr>
          <w:rFonts w:ascii="Tahoma" w:hAnsi="Tahoma" w:cs="Tahoma"/>
          <w:sz w:val="24"/>
          <w:szCs w:val="24"/>
        </w:rPr>
        <w:t xml:space="preserve">uring presentation of the 2019 National Budget, I </w:t>
      </w:r>
      <w:r>
        <w:rPr>
          <w:rFonts w:ascii="Tahoma" w:hAnsi="Tahoma" w:cs="Tahoma"/>
          <w:sz w:val="24"/>
          <w:szCs w:val="24"/>
        </w:rPr>
        <w:t xml:space="preserve">emphasised on the necessity of </w:t>
      </w:r>
      <w:r w:rsidRPr="00C24791">
        <w:rPr>
          <w:rFonts w:ascii="Tahoma" w:hAnsi="Tahoma" w:cs="Tahoma"/>
          <w:sz w:val="24"/>
          <w:szCs w:val="24"/>
        </w:rPr>
        <w:t xml:space="preserve">well-coordinated fiscal and monetary policies, which reinforce each other </w:t>
      </w:r>
      <w:r>
        <w:rPr>
          <w:rFonts w:ascii="Tahoma" w:hAnsi="Tahoma" w:cs="Tahoma"/>
          <w:sz w:val="24"/>
          <w:szCs w:val="24"/>
        </w:rPr>
        <w:t xml:space="preserve">for </w:t>
      </w:r>
      <w:r w:rsidR="009675FA" w:rsidRPr="00C24791">
        <w:rPr>
          <w:rFonts w:ascii="Tahoma" w:hAnsi="Tahoma" w:cs="Tahoma"/>
          <w:sz w:val="24"/>
          <w:szCs w:val="24"/>
        </w:rPr>
        <w:t>addressing the current macro-economic vulnerabilities</w:t>
      </w:r>
      <w:r>
        <w:rPr>
          <w:rFonts w:ascii="Tahoma" w:hAnsi="Tahoma" w:cs="Tahoma"/>
          <w:sz w:val="24"/>
          <w:szCs w:val="24"/>
        </w:rPr>
        <w:t>.</w:t>
      </w:r>
    </w:p>
    <w:p w:rsidR="009675FA" w:rsidRPr="00452766" w:rsidRDefault="009675FA" w:rsidP="00452766">
      <w:pPr>
        <w:pStyle w:val="ListParagraph"/>
        <w:rPr>
          <w:rFonts w:ascii="Tahoma" w:hAnsi="Tahoma" w:cs="Tahoma"/>
          <w:sz w:val="24"/>
          <w:szCs w:val="24"/>
        </w:rPr>
      </w:pPr>
    </w:p>
    <w:p w:rsidR="009675FA" w:rsidRPr="00C24791" w:rsidRDefault="009675FA" w:rsidP="0072299B">
      <w:pPr>
        <w:pStyle w:val="ListParagraph"/>
        <w:numPr>
          <w:ilvl w:val="0"/>
          <w:numId w:val="1"/>
        </w:numPr>
        <w:spacing w:after="160" w:line="360" w:lineRule="auto"/>
        <w:ind w:left="567" w:hanging="567"/>
        <w:jc w:val="both"/>
        <w:rPr>
          <w:rFonts w:ascii="Tahoma" w:hAnsi="Tahoma" w:cs="Tahoma"/>
          <w:sz w:val="24"/>
          <w:szCs w:val="24"/>
        </w:rPr>
      </w:pPr>
      <w:r w:rsidRPr="00C24791">
        <w:rPr>
          <w:rFonts w:ascii="Tahoma" w:hAnsi="Tahoma" w:cs="Tahoma"/>
          <w:sz w:val="24"/>
          <w:szCs w:val="24"/>
        </w:rPr>
        <w:t xml:space="preserve">Consequently, on </w:t>
      </w:r>
      <w:r w:rsidRPr="00B6103C">
        <w:rPr>
          <w:rFonts w:ascii="Tahoma" w:hAnsi="Tahoma" w:cs="Tahoma"/>
          <w:sz w:val="24"/>
          <w:szCs w:val="24"/>
        </w:rPr>
        <w:t>20</w:t>
      </w:r>
      <w:r w:rsidRPr="00C24791">
        <w:rPr>
          <w:rFonts w:ascii="Tahoma" w:hAnsi="Tahoma" w:cs="Tahoma"/>
          <w:sz w:val="24"/>
          <w:szCs w:val="24"/>
        </w:rPr>
        <w:t xml:space="preserve"> February 2019, the Governor of the Reserve Bank presented a Monetary Policy Statement aimed at supporting the various macro-fiscal and structural austerity measures announced in the 2019 Budget.</w:t>
      </w:r>
    </w:p>
    <w:p w:rsidR="009675FA" w:rsidRPr="00A618F5" w:rsidRDefault="009675FA" w:rsidP="009675FA">
      <w:pPr>
        <w:pStyle w:val="ListParagraph"/>
        <w:spacing w:after="0" w:line="360" w:lineRule="auto"/>
        <w:ind w:left="0"/>
        <w:jc w:val="both"/>
        <w:rPr>
          <w:rFonts w:ascii="Tahoma" w:hAnsi="Tahoma" w:cs="Tahoma"/>
          <w:sz w:val="16"/>
          <w:szCs w:val="16"/>
        </w:rPr>
      </w:pPr>
    </w:p>
    <w:p w:rsidR="009675FA" w:rsidRPr="00C24791" w:rsidRDefault="009675FA" w:rsidP="0072299B">
      <w:pPr>
        <w:pStyle w:val="ListParagraph"/>
        <w:numPr>
          <w:ilvl w:val="0"/>
          <w:numId w:val="1"/>
        </w:numPr>
        <w:spacing w:after="160" w:line="360" w:lineRule="auto"/>
        <w:ind w:left="567" w:hanging="567"/>
        <w:jc w:val="both"/>
        <w:rPr>
          <w:rFonts w:ascii="Tahoma" w:hAnsi="Tahoma" w:cs="Tahoma"/>
          <w:sz w:val="24"/>
          <w:szCs w:val="24"/>
        </w:rPr>
      </w:pPr>
      <w:r w:rsidRPr="00C24791">
        <w:rPr>
          <w:rFonts w:ascii="Tahoma" w:hAnsi="Tahoma" w:cs="Tahoma"/>
          <w:sz w:val="24"/>
          <w:szCs w:val="24"/>
        </w:rPr>
        <w:lastRenderedPageBreak/>
        <w:t>The Monetary Policy Statement also removed various distortions which prevented efficient functioning of the foreign exchange market, with implications on the rest of the economy. Such distortions also promoted the parallel market and fed into multiple pricing of goods and services.</w:t>
      </w:r>
    </w:p>
    <w:p w:rsidR="009675FA" w:rsidRPr="00A618F5" w:rsidRDefault="009675FA" w:rsidP="009675FA">
      <w:pPr>
        <w:pStyle w:val="ListParagraph"/>
        <w:spacing w:after="0" w:line="360" w:lineRule="auto"/>
        <w:ind w:left="0"/>
        <w:jc w:val="both"/>
        <w:rPr>
          <w:rFonts w:ascii="Tahoma" w:hAnsi="Tahoma" w:cs="Tahoma"/>
          <w:sz w:val="16"/>
          <w:szCs w:val="16"/>
        </w:rPr>
      </w:pPr>
    </w:p>
    <w:p w:rsidR="009675FA" w:rsidRPr="00C24791" w:rsidRDefault="009675FA" w:rsidP="0072299B">
      <w:pPr>
        <w:pStyle w:val="ListParagraph"/>
        <w:numPr>
          <w:ilvl w:val="0"/>
          <w:numId w:val="1"/>
        </w:numPr>
        <w:spacing w:after="160" w:line="360" w:lineRule="auto"/>
        <w:ind w:left="567" w:hanging="567"/>
        <w:jc w:val="both"/>
        <w:rPr>
          <w:rFonts w:ascii="Tahoma" w:hAnsi="Tahoma" w:cs="Tahoma"/>
          <w:sz w:val="24"/>
          <w:szCs w:val="24"/>
        </w:rPr>
      </w:pPr>
      <w:r w:rsidRPr="00C24791">
        <w:rPr>
          <w:rFonts w:ascii="Tahoma" w:hAnsi="Tahoma" w:cs="Tahoma"/>
          <w:sz w:val="24"/>
          <w:szCs w:val="24"/>
        </w:rPr>
        <w:t xml:space="preserve">Specifically, the </w:t>
      </w:r>
      <w:r w:rsidR="00452766">
        <w:rPr>
          <w:rFonts w:ascii="Tahoma" w:hAnsi="Tahoma" w:cs="Tahoma"/>
          <w:sz w:val="24"/>
          <w:szCs w:val="24"/>
        </w:rPr>
        <w:t xml:space="preserve">Monetary Policy </w:t>
      </w:r>
      <w:r w:rsidRPr="00C24791">
        <w:rPr>
          <w:rFonts w:ascii="Tahoma" w:hAnsi="Tahoma" w:cs="Tahoma"/>
          <w:sz w:val="24"/>
          <w:szCs w:val="24"/>
        </w:rPr>
        <w:t>Statement:</w:t>
      </w:r>
    </w:p>
    <w:p w:rsidR="009675FA" w:rsidRPr="00A618F5" w:rsidRDefault="009675FA" w:rsidP="009675FA">
      <w:pPr>
        <w:pStyle w:val="ListParagraph"/>
        <w:spacing w:after="0" w:line="360" w:lineRule="auto"/>
        <w:ind w:left="0"/>
        <w:jc w:val="both"/>
        <w:rPr>
          <w:rFonts w:ascii="Tahoma" w:hAnsi="Tahoma" w:cs="Tahoma"/>
          <w:sz w:val="16"/>
          <w:szCs w:val="16"/>
        </w:rPr>
      </w:pPr>
    </w:p>
    <w:p w:rsidR="009675FA" w:rsidRPr="00C24791" w:rsidRDefault="009675FA" w:rsidP="009675FA">
      <w:pPr>
        <w:pStyle w:val="ListParagraph"/>
        <w:numPr>
          <w:ilvl w:val="0"/>
          <w:numId w:val="26"/>
        </w:numPr>
        <w:spacing w:after="0" w:line="360" w:lineRule="auto"/>
        <w:ind w:left="1134" w:hanging="567"/>
        <w:jc w:val="both"/>
        <w:rPr>
          <w:rFonts w:ascii="Tahoma" w:hAnsi="Tahoma" w:cs="Tahoma"/>
          <w:sz w:val="24"/>
          <w:szCs w:val="24"/>
        </w:rPr>
      </w:pPr>
      <w:r w:rsidRPr="00C24791">
        <w:rPr>
          <w:rFonts w:ascii="Tahoma" w:hAnsi="Tahoma" w:cs="Tahoma"/>
          <w:sz w:val="24"/>
          <w:szCs w:val="24"/>
        </w:rPr>
        <w:t xml:space="preserve">Introduced a new currency called the RTGS dollar, which includes electronic balances in banks and mobile platforms, bond notes and coins. </w:t>
      </w:r>
    </w:p>
    <w:p w:rsidR="009675FA" w:rsidRPr="00C24791" w:rsidRDefault="009675FA" w:rsidP="009675FA">
      <w:pPr>
        <w:pStyle w:val="ListParagraph"/>
        <w:numPr>
          <w:ilvl w:val="0"/>
          <w:numId w:val="26"/>
        </w:numPr>
        <w:spacing w:after="0" w:line="360" w:lineRule="auto"/>
        <w:ind w:left="1134" w:hanging="567"/>
        <w:jc w:val="both"/>
        <w:rPr>
          <w:rFonts w:ascii="Tahoma" w:hAnsi="Tahoma" w:cs="Tahoma"/>
          <w:sz w:val="24"/>
          <w:szCs w:val="24"/>
        </w:rPr>
      </w:pPr>
      <w:r w:rsidRPr="00C24791">
        <w:rPr>
          <w:rFonts w:ascii="Tahoma" w:hAnsi="Tahoma" w:cs="Tahoma"/>
          <w:sz w:val="24"/>
          <w:szCs w:val="24"/>
        </w:rPr>
        <w:t>Liberalised the foreign currency market and discarded the fixed 1:1 exchange rate peg between the US$ and the Bond note, which was at the centre of various foreign exchange price distortions.</w:t>
      </w:r>
    </w:p>
    <w:p w:rsidR="009675FA" w:rsidRPr="00C24791" w:rsidRDefault="009675FA" w:rsidP="009675FA">
      <w:pPr>
        <w:pStyle w:val="ListParagraph"/>
        <w:numPr>
          <w:ilvl w:val="0"/>
          <w:numId w:val="26"/>
        </w:numPr>
        <w:spacing w:after="0" w:line="360" w:lineRule="auto"/>
        <w:ind w:left="1134" w:hanging="567"/>
        <w:jc w:val="both"/>
        <w:rPr>
          <w:rFonts w:ascii="Tahoma" w:hAnsi="Tahoma" w:cs="Tahoma"/>
          <w:sz w:val="24"/>
          <w:szCs w:val="24"/>
        </w:rPr>
      </w:pPr>
      <w:r w:rsidRPr="00C24791">
        <w:rPr>
          <w:rFonts w:ascii="Tahoma" w:hAnsi="Tahoma" w:cs="Tahoma"/>
          <w:sz w:val="24"/>
          <w:szCs w:val="24"/>
        </w:rPr>
        <w:t>Established an Inter-Bank Foreign Currency Market, which comprises banks and bureaux de change</w:t>
      </w:r>
      <w:r w:rsidR="00673732">
        <w:rPr>
          <w:rFonts w:ascii="Tahoma" w:hAnsi="Tahoma" w:cs="Tahoma"/>
          <w:sz w:val="24"/>
          <w:szCs w:val="24"/>
        </w:rPr>
        <w:t>s</w:t>
      </w:r>
      <w:r w:rsidRPr="00C24791">
        <w:rPr>
          <w:rFonts w:ascii="Tahoma" w:hAnsi="Tahoma" w:cs="Tahoma"/>
          <w:sz w:val="24"/>
          <w:szCs w:val="24"/>
        </w:rPr>
        <w:t>, that way providing a broad based formal platform for efficient foreign currency trading within the economy.</w:t>
      </w:r>
    </w:p>
    <w:p w:rsidR="009675FA" w:rsidRPr="00A618F5" w:rsidRDefault="009675FA" w:rsidP="009675FA">
      <w:pPr>
        <w:pStyle w:val="ListParagraph"/>
        <w:spacing w:after="0" w:line="360" w:lineRule="auto"/>
        <w:ind w:left="0"/>
        <w:jc w:val="both"/>
        <w:rPr>
          <w:rFonts w:ascii="Tahoma" w:hAnsi="Tahoma" w:cs="Tahoma"/>
          <w:sz w:val="16"/>
          <w:szCs w:val="16"/>
        </w:rPr>
      </w:pPr>
    </w:p>
    <w:p w:rsidR="009675FA" w:rsidRPr="00C24791" w:rsidRDefault="00452766" w:rsidP="0072299B">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Therefore, t</w:t>
      </w:r>
      <w:r w:rsidR="009675FA" w:rsidRPr="00C24791">
        <w:rPr>
          <w:rFonts w:ascii="Tahoma" w:hAnsi="Tahoma" w:cs="Tahoma"/>
          <w:sz w:val="24"/>
          <w:szCs w:val="24"/>
        </w:rPr>
        <w:t>he RTGS dollar, through the Statutory Instrument 33, in essence became a new reference currency for accounting and transacting purposes. This effectively created an exchange rate between the US$ and RTGS$, being facilitated through the Interbank Foreign Exchange Market.</w:t>
      </w:r>
    </w:p>
    <w:p w:rsidR="009675FA" w:rsidRPr="00A618F5" w:rsidRDefault="009675FA" w:rsidP="009675FA">
      <w:pPr>
        <w:pStyle w:val="ListParagraph"/>
        <w:spacing w:after="0" w:line="360" w:lineRule="auto"/>
        <w:ind w:left="0"/>
        <w:jc w:val="both"/>
        <w:rPr>
          <w:rFonts w:ascii="Tahoma" w:hAnsi="Tahoma" w:cs="Tahoma"/>
          <w:sz w:val="18"/>
          <w:szCs w:val="18"/>
        </w:rPr>
      </w:pPr>
    </w:p>
    <w:p w:rsidR="009675FA" w:rsidRPr="00C24791" w:rsidRDefault="009675FA" w:rsidP="0072299B">
      <w:pPr>
        <w:pStyle w:val="ListParagraph"/>
        <w:numPr>
          <w:ilvl w:val="0"/>
          <w:numId w:val="1"/>
        </w:numPr>
        <w:spacing w:after="160" w:line="360" w:lineRule="auto"/>
        <w:ind w:left="567" w:hanging="567"/>
        <w:jc w:val="both"/>
        <w:rPr>
          <w:rFonts w:ascii="Tahoma" w:hAnsi="Tahoma" w:cs="Tahoma"/>
          <w:sz w:val="24"/>
          <w:szCs w:val="24"/>
        </w:rPr>
      </w:pPr>
      <w:r w:rsidRPr="00C24791">
        <w:rPr>
          <w:rFonts w:ascii="Tahoma" w:hAnsi="Tahoma" w:cs="Tahoma"/>
          <w:sz w:val="24"/>
          <w:szCs w:val="24"/>
        </w:rPr>
        <w:t xml:space="preserve">The introduction of the RTGS$ and subsequent emergence of the exchange rate between the US$ and the RTGS$ </w:t>
      </w:r>
      <w:r w:rsidR="00673732" w:rsidRPr="00B6103C">
        <w:rPr>
          <w:rFonts w:ascii="Tahoma" w:hAnsi="Tahoma" w:cs="Tahoma"/>
          <w:sz w:val="24"/>
          <w:szCs w:val="24"/>
        </w:rPr>
        <w:t xml:space="preserve">has </w:t>
      </w:r>
      <w:r w:rsidR="00B6103C" w:rsidRPr="00B6103C">
        <w:rPr>
          <w:rFonts w:ascii="Tahoma" w:hAnsi="Tahoma" w:cs="Tahoma"/>
          <w:sz w:val="24"/>
          <w:szCs w:val="24"/>
        </w:rPr>
        <w:t xml:space="preserve">necessitated </w:t>
      </w:r>
      <w:r w:rsidRPr="00B6103C">
        <w:rPr>
          <w:rFonts w:ascii="Tahoma" w:hAnsi="Tahoma" w:cs="Tahoma"/>
          <w:sz w:val="24"/>
          <w:szCs w:val="24"/>
        </w:rPr>
        <w:t xml:space="preserve">recalibration, </w:t>
      </w:r>
      <w:r w:rsidRPr="00C24791">
        <w:rPr>
          <w:rFonts w:ascii="Tahoma" w:hAnsi="Tahoma" w:cs="Tahoma"/>
          <w:sz w:val="24"/>
          <w:szCs w:val="24"/>
        </w:rPr>
        <w:t xml:space="preserve">starting with the base indicator – the nominal Gross Domestic Product (GDP), to reflect the appropriate RTGS$ value. Ultimately, the recalibration of the nominal GDP facilitates adjustment to the 2019 National Budget Framework approved by Parliament on 22 November 2018 and other macro-economic and fiscal indicators. </w:t>
      </w:r>
    </w:p>
    <w:p w:rsidR="009675FA" w:rsidRPr="00A618F5" w:rsidRDefault="009675FA" w:rsidP="009675FA">
      <w:pPr>
        <w:pStyle w:val="ListParagraph"/>
        <w:spacing w:after="0" w:line="360" w:lineRule="auto"/>
        <w:ind w:left="0"/>
        <w:jc w:val="both"/>
        <w:rPr>
          <w:rFonts w:ascii="Tahoma" w:hAnsi="Tahoma" w:cs="Tahoma"/>
          <w:sz w:val="18"/>
          <w:szCs w:val="18"/>
        </w:rPr>
      </w:pPr>
    </w:p>
    <w:p w:rsidR="009675FA" w:rsidRPr="00C24791" w:rsidRDefault="00452766" w:rsidP="0072299B">
      <w:pPr>
        <w:pStyle w:val="ListParagraph"/>
        <w:numPr>
          <w:ilvl w:val="0"/>
          <w:numId w:val="1"/>
        </w:numPr>
        <w:spacing w:after="160" w:line="360" w:lineRule="auto"/>
        <w:ind w:left="567" w:hanging="567"/>
        <w:jc w:val="both"/>
        <w:rPr>
          <w:rFonts w:ascii="Tahoma" w:hAnsi="Tahoma" w:cs="Tahoma"/>
          <w:sz w:val="26"/>
          <w:szCs w:val="26"/>
        </w:rPr>
      </w:pPr>
      <w:r>
        <w:rPr>
          <w:rFonts w:ascii="Tahoma" w:hAnsi="Tahoma" w:cs="Tahoma"/>
          <w:sz w:val="24"/>
          <w:szCs w:val="24"/>
        </w:rPr>
        <w:t xml:space="preserve">In tandem with this </w:t>
      </w:r>
      <w:r w:rsidR="009675FA" w:rsidRPr="00C24791">
        <w:rPr>
          <w:rFonts w:ascii="Tahoma" w:hAnsi="Tahoma" w:cs="Tahoma"/>
          <w:sz w:val="24"/>
          <w:szCs w:val="24"/>
        </w:rPr>
        <w:t>process</w:t>
      </w:r>
      <w:r>
        <w:rPr>
          <w:rFonts w:ascii="Tahoma" w:hAnsi="Tahoma" w:cs="Tahoma"/>
          <w:sz w:val="24"/>
          <w:szCs w:val="24"/>
        </w:rPr>
        <w:t>,</w:t>
      </w:r>
      <w:r w:rsidR="009675FA" w:rsidRPr="00C24791">
        <w:rPr>
          <w:rFonts w:ascii="Tahoma" w:hAnsi="Tahoma" w:cs="Tahoma"/>
          <w:sz w:val="24"/>
          <w:szCs w:val="24"/>
        </w:rPr>
        <w:t xml:space="preserve"> ZIMSTAT </w:t>
      </w:r>
      <w:r>
        <w:rPr>
          <w:rFonts w:ascii="Tahoma" w:hAnsi="Tahoma" w:cs="Tahoma"/>
          <w:sz w:val="24"/>
          <w:szCs w:val="24"/>
        </w:rPr>
        <w:t xml:space="preserve">is also </w:t>
      </w:r>
      <w:r w:rsidR="009675FA" w:rsidRPr="00C24791">
        <w:rPr>
          <w:rFonts w:ascii="Tahoma" w:hAnsi="Tahoma" w:cs="Tahoma"/>
          <w:sz w:val="24"/>
          <w:szCs w:val="24"/>
        </w:rPr>
        <w:t xml:space="preserve">undertaking an appropriate adjustment of nominal GDP in RTGS for historical years between 2009 and 2017. </w:t>
      </w:r>
      <w:r w:rsidR="009675FA" w:rsidRPr="00C24791">
        <w:rPr>
          <w:rFonts w:ascii="Tahoma" w:hAnsi="Tahoma" w:cs="Tahoma"/>
          <w:sz w:val="24"/>
          <w:szCs w:val="24"/>
        </w:rPr>
        <w:lastRenderedPageBreak/>
        <w:t>Such historical series in RTGS dollar values are important for consistency, continuity and comparison purposes</w:t>
      </w:r>
      <w:r w:rsidR="009675FA" w:rsidRPr="00C24791">
        <w:rPr>
          <w:rFonts w:ascii="Tahoma" w:hAnsi="Tahoma" w:cs="Tahoma"/>
          <w:sz w:val="26"/>
          <w:szCs w:val="26"/>
        </w:rPr>
        <w:t>.</w:t>
      </w:r>
    </w:p>
    <w:p w:rsidR="009675FA" w:rsidRPr="00A618F5" w:rsidRDefault="009675FA" w:rsidP="009675FA">
      <w:pPr>
        <w:pStyle w:val="ListParagraph"/>
        <w:spacing w:after="0" w:line="360" w:lineRule="auto"/>
        <w:ind w:left="0"/>
        <w:jc w:val="both"/>
        <w:rPr>
          <w:rFonts w:ascii="Tahoma" w:hAnsi="Tahoma" w:cs="Tahoma"/>
          <w:sz w:val="18"/>
          <w:szCs w:val="18"/>
        </w:rPr>
      </w:pPr>
    </w:p>
    <w:p w:rsidR="009675FA" w:rsidRPr="00452766" w:rsidRDefault="009675FA" w:rsidP="00452766">
      <w:pPr>
        <w:spacing w:after="0" w:line="360" w:lineRule="auto"/>
        <w:ind w:firstLine="567"/>
        <w:rPr>
          <w:rFonts w:ascii="Tahoma" w:hAnsi="Tahoma" w:cs="Tahoma"/>
          <w:b/>
          <w:i/>
          <w:sz w:val="24"/>
          <w:szCs w:val="24"/>
        </w:rPr>
      </w:pPr>
      <w:r w:rsidRPr="00452766">
        <w:rPr>
          <w:rFonts w:ascii="Tahoma" w:hAnsi="Tahoma" w:cs="Tahoma"/>
          <w:b/>
          <w:i/>
          <w:sz w:val="24"/>
          <w:szCs w:val="24"/>
        </w:rPr>
        <w:t>Calibrated 2018-19 Nominal GDP</w:t>
      </w:r>
    </w:p>
    <w:p w:rsidR="009675FA" w:rsidRPr="00A618F5" w:rsidRDefault="009675FA" w:rsidP="009675FA">
      <w:pPr>
        <w:pStyle w:val="ListParagraph"/>
        <w:spacing w:after="0" w:line="360" w:lineRule="auto"/>
        <w:ind w:left="0"/>
        <w:jc w:val="both"/>
        <w:rPr>
          <w:rFonts w:ascii="Tahoma" w:hAnsi="Tahoma" w:cs="Tahoma"/>
          <w:sz w:val="18"/>
          <w:szCs w:val="18"/>
        </w:rPr>
      </w:pPr>
    </w:p>
    <w:p w:rsidR="008F4C08" w:rsidRDefault="008F4C08" w:rsidP="008F4C08">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 xml:space="preserve">Honourable Members should note that the recalibration exercise </w:t>
      </w:r>
      <w:r w:rsidRPr="009161DD">
        <w:rPr>
          <w:rFonts w:ascii="Tahoma" w:hAnsi="Tahoma" w:cs="Tahoma"/>
          <w:sz w:val="24"/>
          <w:szCs w:val="24"/>
        </w:rPr>
        <w:t xml:space="preserve">is another step further in refining our GDP. While the Rebasing of National Accounts Series exercise was in line with international norms, which require replacing of the old base year, </w:t>
      </w:r>
      <w:r w:rsidRPr="009161DD">
        <w:rPr>
          <w:rFonts w:ascii="Tahoma" w:hAnsi="Tahoma" w:cs="Tahoma"/>
          <w:i/>
          <w:sz w:val="24"/>
          <w:szCs w:val="24"/>
          <w:u w:val="single"/>
        </w:rPr>
        <w:t xml:space="preserve">taking cognisance of changes in structure of the economy, </w:t>
      </w:r>
      <w:r w:rsidRPr="009161DD">
        <w:rPr>
          <w:rFonts w:ascii="Tahoma" w:hAnsi="Tahoma" w:cs="Tahoma"/>
          <w:sz w:val="24"/>
          <w:szCs w:val="24"/>
        </w:rPr>
        <w:t>the current recalibration exercise, however,</w:t>
      </w:r>
      <w:r w:rsidR="009161DD" w:rsidRPr="009161DD">
        <w:rPr>
          <w:rFonts w:ascii="Tahoma" w:hAnsi="Tahoma" w:cs="Tahoma"/>
          <w:sz w:val="24"/>
          <w:szCs w:val="24"/>
        </w:rPr>
        <w:t xml:space="preserve"> </w:t>
      </w:r>
      <w:r w:rsidRPr="008F4C08">
        <w:rPr>
          <w:rFonts w:ascii="Tahoma" w:hAnsi="Tahoma" w:cs="Tahoma"/>
          <w:sz w:val="24"/>
          <w:szCs w:val="24"/>
        </w:rPr>
        <w:t xml:space="preserve">seeks </w:t>
      </w:r>
      <w:r w:rsidRPr="008F4C08">
        <w:rPr>
          <w:rFonts w:ascii="Tahoma" w:hAnsi="Tahoma" w:cs="Tahoma"/>
          <w:i/>
          <w:sz w:val="24"/>
          <w:szCs w:val="24"/>
          <w:u w:val="single"/>
        </w:rPr>
        <w:t>to reflect the appropriate GDP value in the new currency - the RTGS$.</w:t>
      </w:r>
      <w:r w:rsidRPr="008F4C08">
        <w:rPr>
          <w:rFonts w:ascii="Tahoma" w:hAnsi="Tahoma" w:cs="Tahoma"/>
          <w:sz w:val="24"/>
          <w:szCs w:val="24"/>
        </w:rPr>
        <w:t xml:space="preserve"> </w:t>
      </w:r>
    </w:p>
    <w:p w:rsidR="008F4C08" w:rsidRDefault="008F4C08" w:rsidP="008F4C08">
      <w:pPr>
        <w:pStyle w:val="ListParagraph"/>
        <w:spacing w:after="160" w:line="360" w:lineRule="auto"/>
        <w:ind w:left="567"/>
        <w:jc w:val="both"/>
        <w:rPr>
          <w:rFonts w:ascii="Tahoma" w:hAnsi="Tahoma" w:cs="Tahoma"/>
          <w:sz w:val="24"/>
          <w:szCs w:val="24"/>
        </w:rPr>
      </w:pPr>
    </w:p>
    <w:p w:rsidR="009675FA" w:rsidRPr="00C24791" w:rsidRDefault="009675FA" w:rsidP="0072299B">
      <w:pPr>
        <w:pStyle w:val="ListParagraph"/>
        <w:numPr>
          <w:ilvl w:val="0"/>
          <w:numId w:val="1"/>
        </w:numPr>
        <w:spacing w:after="160" w:line="360" w:lineRule="auto"/>
        <w:ind w:left="567" w:hanging="567"/>
        <w:jc w:val="both"/>
        <w:rPr>
          <w:rFonts w:ascii="Tahoma" w:hAnsi="Tahoma" w:cs="Tahoma"/>
          <w:sz w:val="24"/>
          <w:szCs w:val="24"/>
        </w:rPr>
      </w:pPr>
      <w:r w:rsidRPr="00C24791">
        <w:rPr>
          <w:rFonts w:ascii="Tahoma" w:hAnsi="Tahoma" w:cs="Tahoma"/>
          <w:sz w:val="24"/>
          <w:szCs w:val="24"/>
        </w:rPr>
        <w:t>The initial steps</w:t>
      </w:r>
      <w:r w:rsidR="00F14C24">
        <w:rPr>
          <w:rFonts w:ascii="Tahoma" w:hAnsi="Tahoma" w:cs="Tahoma"/>
          <w:sz w:val="24"/>
          <w:szCs w:val="24"/>
        </w:rPr>
        <w:t xml:space="preserve"> have</w:t>
      </w:r>
      <w:r w:rsidRPr="00C24791">
        <w:rPr>
          <w:rFonts w:ascii="Tahoma" w:hAnsi="Tahoma" w:cs="Tahoma"/>
          <w:sz w:val="24"/>
          <w:szCs w:val="24"/>
        </w:rPr>
        <w:t xml:space="preserve"> involved recalibration of the current estimated 2018 and 2019 nominal GDP projections into RTGS dollars using standard methodologies, which takes account of annual average market exchange rates to those subsectors where transactions took place in US dollars, together with appropriate adjustments by the GDP deflator/inflation developments and updated GDP growth rates. </w:t>
      </w:r>
    </w:p>
    <w:p w:rsidR="009675FA" w:rsidRPr="00A618F5" w:rsidRDefault="009675FA" w:rsidP="009675FA">
      <w:pPr>
        <w:pStyle w:val="ListParagraph"/>
        <w:spacing w:after="0" w:line="360" w:lineRule="auto"/>
        <w:ind w:left="0"/>
        <w:jc w:val="both"/>
        <w:rPr>
          <w:rFonts w:ascii="Tahoma" w:hAnsi="Tahoma" w:cs="Tahoma"/>
          <w:sz w:val="16"/>
          <w:szCs w:val="16"/>
        </w:rPr>
      </w:pPr>
    </w:p>
    <w:p w:rsidR="009675FA" w:rsidRPr="00C24791" w:rsidRDefault="009675FA" w:rsidP="0072299B">
      <w:pPr>
        <w:pStyle w:val="ListParagraph"/>
        <w:numPr>
          <w:ilvl w:val="0"/>
          <w:numId w:val="1"/>
        </w:numPr>
        <w:spacing w:after="160" w:line="360" w:lineRule="auto"/>
        <w:ind w:left="567" w:hanging="567"/>
        <w:jc w:val="both"/>
        <w:rPr>
          <w:rFonts w:ascii="Tahoma" w:hAnsi="Tahoma" w:cs="Tahoma"/>
          <w:sz w:val="24"/>
          <w:szCs w:val="24"/>
        </w:rPr>
      </w:pPr>
      <w:r w:rsidRPr="00C24791">
        <w:rPr>
          <w:rFonts w:ascii="Tahoma" w:hAnsi="Tahoma" w:cs="Tahoma"/>
          <w:sz w:val="24"/>
          <w:szCs w:val="24"/>
        </w:rPr>
        <w:t xml:space="preserve">The calibration technical exercise culminated into projected nominal GDP of RTGS$42.8 billion </w:t>
      </w:r>
      <w:r w:rsidR="008F4C08">
        <w:rPr>
          <w:rFonts w:ascii="Tahoma" w:hAnsi="Tahoma" w:cs="Tahoma"/>
          <w:sz w:val="24"/>
          <w:szCs w:val="24"/>
        </w:rPr>
        <w:t>for</w:t>
      </w:r>
      <w:r w:rsidRPr="00C24791">
        <w:rPr>
          <w:rFonts w:ascii="Tahoma" w:hAnsi="Tahoma" w:cs="Tahoma"/>
          <w:sz w:val="24"/>
          <w:szCs w:val="24"/>
        </w:rPr>
        <w:t xml:space="preserve"> 2018 and RTGS$70.3 billion </w:t>
      </w:r>
      <w:r w:rsidR="008F4C08">
        <w:rPr>
          <w:rFonts w:ascii="Tahoma" w:hAnsi="Tahoma" w:cs="Tahoma"/>
          <w:sz w:val="24"/>
          <w:szCs w:val="24"/>
        </w:rPr>
        <w:t>for</w:t>
      </w:r>
      <w:r w:rsidRPr="00C24791">
        <w:rPr>
          <w:rFonts w:ascii="Tahoma" w:hAnsi="Tahoma" w:cs="Tahoma"/>
          <w:sz w:val="24"/>
          <w:szCs w:val="24"/>
        </w:rPr>
        <w:t xml:space="preserve"> 2019 as indicated under the following Macro-framework.</w:t>
      </w:r>
    </w:p>
    <w:p w:rsidR="009675FA" w:rsidRPr="00A618F5" w:rsidRDefault="009675FA" w:rsidP="009675FA">
      <w:pPr>
        <w:pStyle w:val="ListParagraph"/>
        <w:spacing w:after="0" w:line="360" w:lineRule="auto"/>
        <w:ind w:left="0"/>
        <w:jc w:val="both"/>
        <w:rPr>
          <w:rFonts w:ascii="Tahoma" w:hAnsi="Tahoma" w:cs="Tahoma"/>
          <w:sz w:val="16"/>
          <w:szCs w:val="16"/>
        </w:rPr>
      </w:pPr>
    </w:p>
    <w:p w:rsidR="009675FA" w:rsidRPr="00C24791" w:rsidRDefault="009675FA" w:rsidP="009675FA">
      <w:pPr>
        <w:spacing w:after="0" w:line="240" w:lineRule="auto"/>
        <w:ind w:left="567"/>
        <w:rPr>
          <w:rFonts w:ascii="Tahoma" w:hAnsi="Tahoma" w:cs="Tahoma"/>
          <w:b/>
        </w:rPr>
      </w:pPr>
      <w:r w:rsidRPr="00C24791">
        <w:rPr>
          <w:rFonts w:ascii="Tahoma" w:hAnsi="Tahoma" w:cs="Tahoma"/>
          <w:b/>
        </w:rPr>
        <w:t>Revised GDP Projections</w:t>
      </w:r>
    </w:p>
    <w:tbl>
      <w:tblPr>
        <w:tblStyle w:val="GridTable4-Accent2"/>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134"/>
        <w:gridCol w:w="1276"/>
        <w:gridCol w:w="1276"/>
      </w:tblGrid>
      <w:tr w:rsidR="009675FA" w:rsidRPr="00A618F5" w:rsidTr="00B139DF">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103" w:type="dxa"/>
            <w:tcBorders>
              <w:top w:val="none" w:sz="0" w:space="0" w:color="auto"/>
              <w:left w:val="none" w:sz="0" w:space="0" w:color="auto"/>
              <w:bottom w:val="none" w:sz="0" w:space="0" w:color="auto"/>
              <w:right w:val="none" w:sz="0" w:space="0" w:color="auto"/>
            </w:tcBorders>
            <w:shd w:val="clear" w:color="auto" w:fill="943634" w:themeFill="accent2" w:themeFillShade="BF"/>
            <w:noWrap/>
            <w:hideMark/>
          </w:tcPr>
          <w:p w:rsidR="009675FA" w:rsidRPr="00A618F5" w:rsidRDefault="009675FA" w:rsidP="00B139DF">
            <w:pPr>
              <w:rPr>
                <w:rFonts w:ascii="Tahoma" w:eastAsia="Times New Roman" w:hAnsi="Tahoma" w:cs="Tahoma"/>
                <w:color w:val="auto"/>
                <w:sz w:val="20"/>
                <w:szCs w:val="20"/>
                <w:lang w:eastAsia="en-ZW"/>
              </w:rPr>
            </w:pPr>
            <w:r w:rsidRPr="00A618F5">
              <w:rPr>
                <w:rFonts w:ascii="Tahoma" w:eastAsia="Times New Roman" w:hAnsi="Tahoma" w:cs="Tahoma"/>
                <w:color w:val="auto"/>
                <w:sz w:val="20"/>
                <w:szCs w:val="20"/>
                <w:lang w:eastAsia="en-ZW"/>
              </w:rPr>
              <w:t> </w:t>
            </w:r>
          </w:p>
        </w:tc>
        <w:tc>
          <w:tcPr>
            <w:tcW w:w="1134" w:type="dxa"/>
            <w:tcBorders>
              <w:top w:val="none" w:sz="0" w:space="0" w:color="auto"/>
              <w:left w:val="none" w:sz="0" w:space="0" w:color="auto"/>
              <w:bottom w:val="none" w:sz="0" w:space="0" w:color="auto"/>
              <w:right w:val="none" w:sz="0" w:space="0" w:color="auto"/>
            </w:tcBorders>
            <w:shd w:val="clear" w:color="auto" w:fill="943634" w:themeFill="accent2" w:themeFillShade="BF"/>
            <w:noWrap/>
            <w:hideMark/>
          </w:tcPr>
          <w:p w:rsidR="009675FA" w:rsidRPr="00A618F5" w:rsidRDefault="009675FA" w:rsidP="00B139DF">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lang w:eastAsia="en-ZW"/>
              </w:rPr>
            </w:pPr>
            <w:r w:rsidRPr="00A618F5">
              <w:rPr>
                <w:rFonts w:ascii="Tahoma" w:eastAsia="Times New Roman" w:hAnsi="Tahoma" w:cs="Tahoma"/>
                <w:color w:val="auto"/>
                <w:sz w:val="20"/>
                <w:szCs w:val="20"/>
                <w:lang w:eastAsia="en-ZW"/>
              </w:rPr>
              <w:t>2017</w:t>
            </w:r>
          </w:p>
        </w:tc>
        <w:tc>
          <w:tcPr>
            <w:tcW w:w="1276" w:type="dxa"/>
            <w:tcBorders>
              <w:top w:val="none" w:sz="0" w:space="0" w:color="auto"/>
              <w:left w:val="none" w:sz="0" w:space="0" w:color="auto"/>
              <w:bottom w:val="none" w:sz="0" w:space="0" w:color="auto"/>
              <w:right w:val="none" w:sz="0" w:space="0" w:color="auto"/>
            </w:tcBorders>
            <w:shd w:val="clear" w:color="auto" w:fill="943634" w:themeFill="accent2" w:themeFillShade="BF"/>
            <w:noWrap/>
            <w:hideMark/>
          </w:tcPr>
          <w:p w:rsidR="009675FA" w:rsidRPr="00A618F5" w:rsidRDefault="009675FA" w:rsidP="00B139DF">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lang w:eastAsia="en-ZW"/>
              </w:rPr>
            </w:pPr>
            <w:r w:rsidRPr="00A618F5">
              <w:rPr>
                <w:rFonts w:ascii="Tahoma" w:eastAsia="Times New Roman" w:hAnsi="Tahoma" w:cs="Tahoma"/>
                <w:color w:val="auto"/>
                <w:sz w:val="20"/>
                <w:szCs w:val="20"/>
                <w:lang w:eastAsia="en-ZW"/>
              </w:rPr>
              <w:t>2018 Rev</w:t>
            </w:r>
          </w:p>
        </w:tc>
        <w:tc>
          <w:tcPr>
            <w:tcW w:w="1276" w:type="dxa"/>
            <w:tcBorders>
              <w:top w:val="none" w:sz="0" w:space="0" w:color="auto"/>
              <w:left w:val="none" w:sz="0" w:space="0" w:color="auto"/>
              <w:bottom w:val="none" w:sz="0" w:space="0" w:color="auto"/>
              <w:right w:val="none" w:sz="0" w:space="0" w:color="auto"/>
            </w:tcBorders>
            <w:shd w:val="clear" w:color="auto" w:fill="943634" w:themeFill="accent2" w:themeFillShade="BF"/>
            <w:noWrap/>
            <w:hideMark/>
          </w:tcPr>
          <w:p w:rsidR="009675FA" w:rsidRPr="00A618F5" w:rsidRDefault="009675FA" w:rsidP="00B139DF">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lang w:eastAsia="en-ZW"/>
              </w:rPr>
            </w:pPr>
            <w:r w:rsidRPr="00A618F5">
              <w:rPr>
                <w:rFonts w:ascii="Tahoma" w:eastAsia="Times New Roman" w:hAnsi="Tahoma" w:cs="Tahoma"/>
                <w:color w:val="auto"/>
                <w:sz w:val="20"/>
                <w:szCs w:val="20"/>
                <w:lang w:eastAsia="en-ZW"/>
              </w:rPr>
              <w:t xml:space="preserve">2019 Rev </w:t>
            </w:r>
          </w:p>
        </w:tc>
      </w:tr>
      <w:tr w:rsidR="009675FA" w:rsidRPr="00A618F5" w:rsidTr="00B139D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03" w:type="dxa"/>
            <w:noWrap/>
          </w:tcPr>
          <w:p w:rsidR="009675FA" w:rsidRPr="00A618F5" w:rsidRDefault="009675FA" w:rsidP="00B139DF">
            <w:pPr>
              <w:rPr>
                <w:rFonts w:ascii="Tahoma" w:eastAsia="Times New Roman" w:hAnsi="Tahoma" w:cs="Tahoma"/>
                <w:sz w:val="20"/>
                <w:szCs w:val="20"/>
                <w:lang w:eastAsia="en-ZW"/>
              </w:rPr>
            </w:pPr>
            <w:r w:rsidRPr="00A618F5">
              <w:rPr>
                <w:rFonts w:ascii="Tahoma" w:eastAsia="Times New Roman" w:hAnsi="Tahoma" w:cs="Tahoma"/>
                <w:sz w:val="20"/>
                <w:szCs w:val="20"/>
                <w:lang w:eastAsia="en-ZW"/>
              </w:rPr>
              <w:t>Output and prices</w:t>
            </w:r>
          </w:p>
        </w:tc>
        <w:tc>
          <w:tcPr>
            <w:tcW w:w="1134" w:type="dxa"/>
            <w:noWrap/>
          </w:tcPr>
          <w:p w:rsidR="009675FA" w:rsidRPr="00A618F5"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p>
        </w:tc>
        <w:tc>
          <w:tcPr>
            <w:tcW w:w="1276" w:type="dxa"/>
            <w:noWrap/>
          </w:tcPr>
          <w:p w:rsidR="009675FA" w:rsidRPr="00A618F5"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p>
        </w:tc>
        <w:tc>
          <w:tcPr>
            <w:tcW w:w="1276" w:type="dxa"/>
            <w:noWrap/>
          </w:tcPr>
          <w:p w:rsidR="009675FA" w:rsidRPr="00A618F5"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p>
        </w:tc>
      </w:tr>
      <w:tr w:rsidR="009675FA" w:rsidRPr="00A618F5" w:rsidTr="00B139DF">
        <w:trPr>
          <w:trHeight w:val="284"/>
        </w:trPr>
        <w:tc>
          <w:tcPr>
            <w:cnfStyle w:val="001000000000" w:firstRow="0" w:lastRow="0" w:firstColumn="1" w:lastColumn="0" w:oddVBand="0" w:evenVBand="0" w:oddHBand="0" w:evenHBand="0" w:firstRowFirstColumn="0" w:firstRowLastColumn="0" w:lastRowFirstColumn="0" w:lastRowLastColumn="0"/>
            <w:tcW w:w="5103" w:type="dxa"/>
            <w:noWrap/>
          </w:tcPr>
          <w:p w:rsidR="009675FA" w:rsidRPr="00A618F5" w:rsidRDefault="009675FA" w:rsidP="00B139DF">
            <w:pPr>
              <w:ind w:firstLineChars="100" w:firstLine="200"/>
              <w:rPr>
                <w:rFonts w:ascii="Tahoma" w:eastAsia="Times New Roman" w:hAnsi="Tahoma" w:cs="Tahoma"/>
                <w:b w:val="0"/>
                <w:sz w:val="20"/>
                <w:szCs w:val="20"/>
                <w:lang w:eastAsia="en-ZW"/>
              </w:rPr>
            </w:pPr>
            <w:r w:rsidRPr="00A618F5">
              <w:rPr>
                <w:rFonts w:ascii="Tahoma" w:eastAsia="Times New Roman" w:hAnsi="Tahoma" w:cs="Tahoma"/>
                <w:b w:val="0"/>
                <w:sz w:val="20"/>
                <w:szCs w:val="20"/>
                <w:lang w:eastAsia="en-ZW"/>
              </w:rPr>
              <w:t>Real GDP growth</w:t>
            </w:r>
            <w:r w:rsidRPr="00A618F5">
              <w:rPr>
                <w:rFonts w:ascii="Tahoma" w:eastAsia="Times New Roman" w:hAnsi="Tahoma" w:cs="Tahoma"/>
                <w:b w:val="0"/>
                <w:sz w:val="20"/>
                <w:szCs w:val="20"/>
                <w:vertAlign w:val="superscript"/>
                <w:lang w:eastAsia="en-ZW"/>
              </w:rPr>
              <w:t>1/</w:t>
            </w:r>
          </w:p>
        </w:tc>
        <w:tc>
          <w:tcPr>
            <w:tcW w:w="1134" w:type="dxa"/>
            <w:noWrap/>
          </w:tcPr>
          <w:p w:rsidR="009675FA" w:rsidRPr="00A618F5"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4.7</w:t>
            </w:r>
          </w:p>
        </w:tc>
        <w:tc>
          <w:tcPr>
            <w:tcW w:w="1276" w:type="dxa"/>
            <w:noWrap/>
          </w:tcPr>
          <w:p w:rsidR="009675FA" w:rsidRPr="00A618F5"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6.2</w:t>
            </w:r>
          </w:p>
        </w:tc>
        <w:tc>
          <w:tcPr>
            <w:tcW w:w="1276" w:type="dxa"/>
            <w:noWrap/>
          </w:tcPr>
          <w:p w:rsidR="009675FA" w:rsidRPr="00A618F5"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p>
        </w:tc>
      </w:tr>
      <w:tr w:rsidR="009675FA" w:rsidRPr="00A618F5" w:rsidTr="00B139D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03" w:type="dxa"/>
            <w:noWrap/>
          </w:tcPr>
          <w:p w:rsidR="009675FA" w:rsidRPr="00A618F5" w:rsidRDefault="009675FA" w:rsidP="00B139DF">
            <w:pPr>
              <w:ind w:firstLineChars="100" w:firstLine="200"/>
              <w:rPr>
                <w:rFonts w:ascii="Tahoma" w:eastAsia="Times New Roman" w:hAnsi="Tahoma" w:cs="Tahoma"/>
                <w:b w:val="0"/>
                <w:sz w:val="20"/>
                <w:szCs w:val="20"/>
                <w:lang w:eastAsia="en-ZW"/>
              </w:rPr>
            </w:pPr>
            <w:r w:rsidRPr="00A618F5">
              <w:rPr>
                <w:rFonts w:ascii="Tahoma" w:eastAsia="Times New Roman" w:hAnsi="Tahoma" w:cs="Tahoma"/>
                <w:b w:val="0"/>
                <w:sz w:val="20"/>
                <w:szCs w:val="20"/>
                <w:lang w:eastAsia="en-ZW"/>
              </w:rPr>
              <w:t>Nominal GDP (US$ millions)</w:t>
            </w:r>
          </w:p>
        </w:tc>
        <w:tc>
          <w:tcPr>
            <w:tcW w:w="1134" w:type="dxa"/>
            <w:noWrap/>
          </w:tcPr>
          <w:p w:rsidR="009675FA" w:rsidRPr="00A618F5"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22,041</w:t>
            </w:r>
          </w:p>
        </w:tc>
        <w:tc>
          <w:tcPr>
            <w:tcW w:w="1276" w:type="dxa"/>
            <w:noWrap/>
          </w:tcPr>
          <w:p w:rsidR="009675FA" w:rsidRPr="00A618F5"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23,113</w:t>
            </w:r>
          </w:p>
        </w:tc>
        <w:tc>
          <w:tcPr>
            <w:tcW w:w="1276" w:type="dxa"/>
            <w:noWrap/>
          </w:tcPr>
          <w:p w:rsidR="009675FA" w:rsidRPr="00A618F5"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22,679</w:t>
            </w:r>
          </w:p>
        </w:tc>
      </w:tr>
      <w:tr w:rsidR="009675FA" w:rsidRPr="00A618F5" w:rsidTr="00B139DF">
        <w:trPr>
          <w:trHeight w:val="284"/>
        </w:trPr>
        <w:tc>
          <w:tcPr>
            <w:cnfStyle w:val="001000000000" w:firstRow="0" w:lastRow="0" w:firstColumn="1" w:lastColumn="0" w:oddVBand="0" w:evenVBand="0" w:oddHBand="0" w:evenHBand="0" w:firstRowFirstColumn="0" w:firstRowLastColumn="0" w:lastRowFirstColumn="0" w:lastRowLastColumn="0"/>
            <w:tcW w:w="5103" w:type="dxa"/>
            <w:noWrap/>
          </w:tcPr>
          <w:p w:rsidR="009675FA" w:rsidRPr="00A618F5" w:rsidRDefault="009675FA" w:rsidP="00B139DF">
            <w:pPr>
              <w:ind w:firstLineChars="100" w:firstLine="200"/>
              <w:rPr>
                <w:rFonts w:ascii="Tahoma" w:eastAsia="Times New Roman" w:hAnsi="Tahoma" w:cs="Tahoma"/>
                <w:b w:val="0"/>
                <w:sz w:val="20"/>
                <w:szCs w:val="20"/>
                <w:lang w:eastAsia="en-ZW"/>
              </w:rPr>
            </w:pPr>
            <w:r w:rsidRPr="00A618F5">
              <w:rPr>
                <w:rFonts w:ascii="Tahoma" w:eastAsia="Times New Roman" w:hAnsi="Tahoma" w:cs="Tahoma"/>
                <w:b w:val="0"/>
                <w:sz w:val="20"/>
                <w:szCs w:val="20"/>
                <w:lang w:eastAsia="en-ZW"/>
              </w:rPr>
              <w:t>Nominal GDP (LCU millions)</w:t>
            </w:r>
          </w:p>
        </w:tc>
        <w:tc>
          <w:tcPr>
            <w:tcW w:w="1134" w:type="dxa"/>
            <w:noWrap/>
          </w:tcPr>
          <w:p w:rsidR="009675FA" w:rsidRPr="00A618F5"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27,438</w:t>
            </w:r>
          </w:p>
        </w:tc>
        <w:tc>
          <w:tcPr>
            <w:tcW w:w="1276" w:type="dxa"/>
            <w:noWrap/>
          </w:tcPr>
          <w:p w:rsidR="009675FA" w:rsidRPr="00A618F5"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42,777</w:t>
            </w:r>
          </w:p>
        </w:tc>
        <w:tc>
          <w:tcPr>
            <w:tcW w:w="1276" w:type="dxa"/>
            <w:noWrap/>
          </w:tcPr>
          <w:p w:rsidR="009675FA" w:rsidRPr="00A618F5"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70,304</w:t>
            </w:r>
          </w:p>
        </w:tc>
      </w:tr>
      <w:tr w:rsidR="009675FA" w:rsidRPr="00A618F5" w:rsidTr="00B139D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03" w:type="dxa"/>
            <w:noWrap/>
          </w:tcPr>
          <w:p w:rsidR="009675FA" w:rsidRPr="00A618F5" w:rsidRDefault="009675FA" w:rsidP="00B139DF">
            <w:pPr>
              <w:ind w:firstLineChars="100" w:firstLine="200"/>
              <w:rPr>
                <w:rFonts w:ascii="Tahoma" w:eastAsia="Times New Roman" w:hAnsi="Tahoma" w:cs="Tahoma"/>
                <w:b w:val="0"/>
                <w:sz w:val="20"/>
                <w:szCs w:val="20"/>
                <w:lang w:eastAsia="en-ZW"/>
              </w:rPr>
            </w:pPr>
            <w:r w:rsidRPr="00A618F5">
              <w:rPr>
                <w:rFonts w:ascii="Tahoma" w:eastAsia="Times New Roman" w:hAnsi="Tahoma" w:cs="Tahoma"/>
                <w:b w:val="0"/>
                <w:sz w:val="20"/>
                <w:szCs w:val="20"/>
                <w:lang w:eastAsia="en-ZW"/>
              </w:rPr>
              <w:t>GDP deflator</w:t>
            </w:r>
          </w:p>
        </w:tc>
        <w:tc>
          <w:tcPr>
            <w:tcW w:w="1134" w:type="dxa"/>
            <w:noWrap/>
          </w:tcPr>
          <w:p w:rsidR="009675FA" w:rsidRPr="00A618F5"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26.0</w:t>
            </w:r>
          </w:p>
        </w:tc>
        <w:tc>
          <w:tcPr>
            <w:tcW w:w="1276" w:type="dxa"/>
            <w:noWrap/>
          </w:tcPr>
          <w:p w:rsidR="009675FA" w:rsidRPr="00A618F5"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50.7</w:t>
            </w:r>
          </w:p>
        </w:tc>
        <w:tc>
          <w:tcPr>
            <w:tcW w:w="1276" w:type="dxa"/>
            <w:noWrap/>
          </w:tcPr>
          <w:p w:rsidR="009675FA" w:rsidRPr="00A618F5"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67.9</w:t>
            </w:r>
          </w:p>
        </w:tc>
      </w:tr>
      <w:tr w:rsidR="009675FA" w:rsidRPr="00A618F5" w:rsidTr="00B139DF">
        <w:trPr>
          <w:trHeight w:val="284"/>
        </w:trPr>
        <w:tc>
          <w:tcPr>
            <w:cnfStyle w:val="001000000000" w:firstRow="0" w:lastRow="0" w:firstColumn="1" w:lastColumn="0" w:oddVBand="0" w:evenVBand="0" w:oddHBand="0" w:evenHBand="0" w:firstRowFirstColumn="0" w:firstRowLastColumn="0" w:lastRowFirstColumn="0" w:lastRowLastColumn="0"/>
            <w:tcW w:w="5103" w:type="dxa"/>
            <w:noWrap/>
          </w:tcPr>
          <w:p w:rsidR="009675FA" w:rsidRPr="00A618F5" w:rsidRDefault="009675FA" w:rsidP="00B139DF">
            <w:pPr>
              <w:ind w:firstLineChars="100" w:firstLine="200"/>
              <w:rPr>
                <w:rFonts w:ascii="Tahoma" w:eastAsia="Times New Roman" w:hAnsi="Tahoma" w:cs="Tahoma"/>
                <w:b w:val="0"/>
                <w:sz w:val="20"/>
                <w:szCs w:val="20"/>
                <w:lang w:eastAsia="en-ZW"/>
              </w:rPr>
            </w:pPr>
            <w:r w:rsidRPr="00A618F5">
              <w:rPr>
                <w:rFonts w:ascii="Tahoma" w:eastAsia="Times New Roman" w:hAnsi="Tahoma" w:cs="Tahoma"/>
                <w:b w:val="0"/>
                <w:sz w:val="20"/>
                <w:szCs w:val="20"/>
                <w:lang w:eastAsia="en-ZW"/>
              </w:rPr>
              <w:t>CPI (annual average)</w:t>
            </w:r>
          </w:p>
        </w:tc>
        <w:tc>
          <w:tcPr>
            <w:tcW w:w="1134" w:type="dxa"/>
            <w:noWrap/>
          </w:tcPr>
          <w:p w:rsidR="009675FA" w:rsidRPr="00A618F5"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0.9</w:t>
            </w:r>
          </w:p>
        </w:tc>
        <w:tc>
          <w:tcPr>
            <w:tcW w:w="1276" w:type="dxa"/>
            <w:noWrap/>
          </w:tcPr>
          <w:p w:rsidR="009675FA" w:rsidRPr="00A618F5"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10.6</w:t>
            </w:r>
          </w:p>
        </w:tc>
        <w:tc>
          <w:tcPr>
            <w:tcW w:w="1276" w:type="dxa"/>
            <w:noWrap/>
          </w:tcPr>
          <w:p w:rsidR="009675FA" w:rsidRPr="00A618F5"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bookmarkStart w:id="0" w:name="_GoBack"/>
            <w:bookmarkEnd w:id="0"/>
          </w:p>
        </w:tc>
      </w:tr>
      <w:tr w:rsidR="009675FA" w:rsidRPr="00A618F5" w:rsidTr="00B139D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03" w:type="dxa"/>
            <w:noWrap/>
          </w:tcPr>
          <w:p w:rsidR="009675FA" w:rsidRPr="00A618F5" w:rsidRDefault="009675FA" w:rsidP="00B139DF">
            <w:pPr>
              <w:ind w:firstLineChars="100" w:firstLine="200"/>
              <w:rPr>
                <w:rFonts w:ascii="Tahoma" w:eastAsia="Times New Roman" w:hAnsi="Tahoma" w:cs="Tahoma"/>
                <w:b w:val="0"/>
                <w:sz w:val="20"/>
                <w:szCs w:val="20"/>
                <w:lang w:eastAsia="en-ZW"/>
              </w:rPr>
            </w:pPr>
            <w:r w:rsidRPr="00A618F5">
              <w:rPr>
                <w:rFonts w:ascii="Tahoma" w:eastAsia="Times New Roman" w:hAnsi="Tahoma" w:cs="Tahoma"/>
                <w:b w:val="0"/>
                <w:sz w:val="20"/>
                <w:szCs w:val="20"/>
                <w:lang w:eastAsia="en-ZW"/>
              </w:rPr>
              <w:t>CPI (end-of-period)</w:t>
            </w:r>
          </w:p>
        </w:tc>
        <w:tc>
          <w:tcPr>
            <w:tcW w:w="1134" w:type="dxa"/>
            <w:noWrap/>
          </w:tcPr>
          <w:p w:rsidR="009675FA" w:rsidRPr="00A618F5"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3.4</w:t>
            </w:r>
          </w:p>
        </w:tc>
        <w:tc>
          <w:tcPr>
            <w:tcW w:w="1276" w:type="dxa"/>
            <w:noWrap/>
          </w:tcPr>
          <w:p w:rsidR="009675FA" w:rsidRPr="00A618F5"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42.1</w:t>
            </w:r>
          </w:p>
        </w:tc>
        <w:tc>
          <w:tcPr>
            <w:tcW w:w="1276" w:type="dxa"/>
            <w:noWrap/>
          </w:tcPr>
          <w:p w:rsidR="009675FA" w:rsidRPr="00A618F5"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p>
        </w:tc>
      </w:tr>
      <w:tr w:rsidR="009675FA" w:rsidRPr="00A618F5" w:rsidTr="00B139DF">
        <w:trPr>
          <w:trHeight w:val="284"/>
        </w:trPr>
        <w:tc>
          <w:tcPr>
            <w:cnfStyle w:val="001000000000" w:firstRow="0" w:lastRow="0" w:firstColumn="1" w:lastColumn="0" w:oddVBand="0" w:evenVBand="0" w:oddHBand="0" w:evenHBand="0" w:firstRowFirstColumn="0" w:firstRowLastColumn="0" w:lastRowFirstColumn="0" w:lastRowLastColumn="0"/>
            <w:tcW w:w="5103" w:type="dxa"/>
            <w:noWrap/>
          </w:tcPr>
          <w:p w:rsidR="009675FA" w:rsidRPr="00A618F5" w:rsidRDefault="009675FA" w:rsidP="00B139DF">
            <w:pPr>
              <w:rPr>
                <w:rFonts w:ascii="Tahoma" w:eastAsia="Times New Roman" w:hAnsi="Tahoma" w:cs="Tahoma"/>
                <w:sz w:val="20"/>
                <w:szCs w:val="20"/>
                <w:lang w:eastAsia="en-ZW"/>
              </w:rPr>
            </w:pPr>
            <w:r w:rsidRPr="00A618F5">
              <w:rPr>
                <w:rFonts w:ascii="Tahoma" w:eastAsia="Times New Roman" w:hAnsi="Tahoma" w:cs="Tahoma"/>
                <w:sz w:val="20"/>
                <w:szCs w:val="20"/>
                <w:lang w:eastAsia="en-ZW"/>
              </w:rPr>
              <w:lastRenderedPageBreak/>
              <w:t>Exchange rate</w:t>
            </w:r>
          </w:p>
        </w:tc>
        <w:tc>
          <w:tcPr>
            <w:tcW w:w="1134" w:type="dxa"/>
            <w:noWrap/>
          </w:tcPr>
          <w:p w:rsidR="009675FA" w:rsidRPr="00A618F5"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p>
        </w:tc>
        <w:tc>
          <w:tcPr>
            <w:tcW w:w="1276" w:type="dxa"/>
            <w:noWrap/>
          </w:tcPr>
          <w:p w:rsidR="009675FA" w:rsidRPr="00A618F5"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p>
        </w:tc>
        <w:tc>
          <w:tcPr>
            <w:tcW w:w="1276" w:type="dxa"/>
            <w:noWrap/>
          </w:tcPr>
          <w:p w:rsidR="009675FA" w:rsidRPr="00A618F5"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p>
        </w:tc>
      </w:tr>
      <w:tr w:rsidR="009675FA" w:rsidRPr="00A618F5" w:rsidTr="00B139D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103" w:type="dxa"/>
            <w:noWrap/>
          </w:tcPr>
          <w:p w:rsidR="009675FA" w:rsidRPr="00A618F5" w:rsidRDefault="009675FA" w:rsidP="00B139DF">
            <w:pPr>
              <w:ind w:firstLineChars="100" w:firstLine="200"/>
              <w:rPr>
                <w:rFonts w:ascii="Tahoma" w:eastAsia="Times New Roman" w:hAnsi="Tahoma" w:cs="Tahoma"/>
                <w:b w:val="0"/>
                <w:sz w:val="20"/>
                <w:szCs w:val="20"/>
                <w:lang w:eastAsia="en-ZW"/>
              </w:rPr>
            </w:pPr>
            <w:r w:rsidRPr="00A618F5">
              <w:rPr>
                <w:rFonts w:ascii="Tahoma" w:eastAsia="Times New Roman" w:hAnsi="Tahoma" w:cs="Tahoma"/>
                <w:b w:val="0"/>
                <w:sz w:val="20"/>
                <w:szCs w:val="20"/>
                <w:lang w:eastAsia="en-ZW"/>
              </w:rPr>
              <w:t>RTGS:USD exchange rate (annual average)</w:t>
            </w:r>
          </w:p>
        </w:tc>
        <w:tc>
          <w:tcPr>
            <w:tcW w:w="1134" w:type="dxa"/>
            <w:noWrap/>
          </w:tcPr>
          <w:p w:rsidR="009675FA" w:rsidRPr="00A618F5"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1.3</w:t>
            </w:r>
          </w:p>
        </w:tc>
        <w:tc>
          <w:tcPr>
            <w:tcW w:w="1276" w:type="dxa"/>
            <w:noWrap/>
          </w:tcPr>
          <w:p w:rsidR="009675FA" w:rsidRPr="00A618F5"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2.0</w:t>
            </w:r>
          </w:p>
        </w:tc>
        <w:tc>
          <w:tcPr>
            <w:tcW w:w="1276" w:type="dxa"/>
            <w:noWrap/>
          </w:tcPr>
          <w:p w:rsidR="009675FA" w:rsidRPr="00A618F5"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3.7</w:t>
            </w:r>
          </w:p>
        </w:tc>
      </w:tr>
      <w:tr w:rsidR="009675FA" w:rsidRPr="00A618F5" w:rsidTr="00B139DF">
        <w:trPr>
          <w:trHeight w:val="284"/>
        </w:trPr>
        <w:tc>
          <w:tcPr>
            <w:cnfStyle w:val="001000000000" w:firstRow="0" w:lastRow="0" w:firstColumn="1" w:lastColumn="0" w:oddVBand="0" w:evenVBand="0" w:oddHBand="0" w:evenHBand="0" w:firstRowFirstColumn="0" w:firstRowLastColumn="0" w:lastRowFirstColumn="0" w:lastRowLastColumn="0"/>
            <w:tcW w:w="5103" w:type="dxa"/>
            <w:noWrap/>
            <w:hideMark/>
          </w:tcPr>
          <w:p w:rsidR="009675FA" w:rsidRPr="00A618F5" w:rsidRDefault="009675FA" w:rsidP="00B139DF">
            <w:pPr>
              <w:ind w:firstLineChars="100" w:firstLine="200"/>
              <w:rPr>
                <w:rFonts w:ascii="Tahoma" w:eastAsia="Times New Roman" w:hAnsi="Tahoma" w:cs="Tahoma"/>
                <w:b w:val="0"/>
                <w:sz w:val="20"/>
                <w:szCs w:val="20"/>
                <w:lang w:eastAsia="en-ZW"/>
              </w:rPr>
            </w:pPr>
            <w:r w:rsidRPr="00A618F5">
              <w:rPr>
                <w:rFonts w:ascii="Tahoma" w:eastAsia="Times New Roman" w:hAnsi="Tahoma" w:cs="Tahoma"/>
                <w:b w:val="0"/>
                <w:sz w:val="20"/>
                <w:szCs w:val="20"/>
                <w:lang w:eastAsia="en-ZW"/>
              </w:rPr>
              <w:t>RTGS:USD exchange rate (end-of-period)</w:t>
            </w:r>
          </w:p>
        </w:tc>
        <w:tc>
          <w:tcPr>
            <w:tcW w:w="1134" w:type="dxa"/>
            <w:noWrap/>
            <w:hideMark/>
          </w:tcPr>
          <w:p w:rsidR="009675FA" w:rsidRPr="00A618F5"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1.3</w:t>
            </w:r>
          </w:p>
        </w:tc>
        <w:tc>
          <w:tcPr>
            <w:tcW w:w="1276" w:type="dxa"/>
            <w:noWrap/>
            <w:hideMark/>
          </w:tcPr>
          <w:p w:rsidR="009675FA" w:rsidRPr="00A618F5"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3.5</w:t>
            </w:r>
          </w:p>
        </w:tc>
        <w:tc>
          <w:tcPr>
            <w:tcW w:w="1276" w:type="dxa"/>
            <w:noWrap/>
            <w:hideMark/>
          </w:tcPr>
          <w:p w:rsidR="009675FA" w:rsidRPr="00A618F5"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A618F5">
              <w:rPr>
                <w:rFonts w:ascii="Tahoma" w:eastAsia="Times New Roman" w:hAnsi="Tahoma" w:cs="Tahoma"/>
                <w:sz w:val="20"/>
                <w:szCs w:val="20"/>
                <w:lang w:eastAsia="en-ZW"/>
              </w:rPr>
              <w:t>3.5</w:t>
            </w:r>
          </w:p>
        </w:tc>
      </w:tr>
    </w:tbl>
    <w:p w:rsidR="009675FA" w:rsidRPr="00C24791" w:rsidRDefault="009675FA" w:rsidP="009675FA">
      <w:pPr>
        <w:spacing w:after="0" w:line="360" w:lineRule="auto"/>
        <w:jc w:val="both"/>
        <w:rPr>
          <w:rFonts w:ascii="Tahoma" w:eastAsia="Times New Roman" w:hAnsi="Tahoma" w:cs="Tahoma"/>
          <w:bCs/>
          <w:sz w:val="24"/>
          <w:szCs w:val="24"/>
          <w:lang w:eastAsia="en-GB"/>
        </w:rPr>
      </w:pPr>
    </w:p>
    <w:p w:rsidR="009675FA" w:rsidRPr="00BD1E36" w:rsidRDefault="009675FA" w:rsidP="00BD1E36">
      <w:pPr>
        <w:pStyle w:val="ListParagraph"/>
        <w:numPr>
          <w:ilvl w:val="0"/>
          <w:numId w:val="1"/>
        </w:numPr>
        <w:spacing w:after="160" w:line="360" w:lineRule="auto"/>
        <w:ind w:left="567" w:hanging="567"/>
        <w:jc w:val="both"/>
        <w:rPr>
          <w:rFonts w:ascii="Tahoma" w:hAnsi="Tahoma" w:cs="Tahoma"/>
          <w:sz w:val="24"/>
          <w:szCs w:val="24"/>
        </w:rPr>
      </w:pPr>
      <w:r w:rsidRPr="00C24791">
        <w:rPr>
          <w:rFonts w:ascii="Tahoma" w:hAnsi="Tahoma" w:cs="Tahoma"/>
          <w:sz w:val="24"/>
          <w:szCs w:val="24"/>
        </w:rPr>
        <w:t>The new recalibrated nominal GDP of RTGS$42.8 billion in 2018 reflects updated higher GDP growth of 6.2% against the initial estimate of 4%</w:t>
      </w:r>
      <w:r w:rsidR="00BD1E36">
        <w:rPr>
          <w:rFonts w:ascii="Tahoma" w:hAnsi="Tahoma" w:cs="Tahoma"/>
          <w:sz w:val="24"/>
          <w:szCs w:val="24"/>
        </w:rPr>
        <w:t xml:space="preserve">. </w:t>
      </w:r>
      <w:r w:rsidRPr="00BD1E36">
        <w:rPr>
          <w:rFonts w:ascii="Tahoma" w:hAnsi="Tahoma" w:cs="Tahoma"/>
          <w:sz w:val="24"/>
          <w:szCs w:val="24"/>
        </w:rPr>
        <w:t xml:space="preserve">Stronger growth in </w:t>
      </w:r>
      <w:r w:rsidR="00F14C24">
        <w:rPr>
          <w:rFonts w:ascii="Tahoma" w:hAnsi="Tahoma" w:cs="Tahoma"/>
          <w:sz w:val="24"/>
          <w:szCs w:val="24"/>
        </w:rPr>
        <w:t>overall nominal GDP</w:t>
      </w:r>
      <w:r w:rsidR="00F14C24" w:rsidRPr="00BD1E36">
        <w:rPr>
          <w:rFonts w:ascii="Tahoma" w:hAnsi="Tahoma" w:cs="Tahoma"/>
          <w:sz w:val="24"/>
          <w:szCs w:val="24"/>
        </w:rPr>
        <w:t xml:space="preserve"> </w:t>
      </w:r>
      <w:r w:rsidRPr="00BD1E36">
        <w:rPr>
          <w:rFonts w:ascii="Tahoma" w:hAnsi="Tahoma" w:cs="Tahoma"/>
          <w:sz w:val="24"/>
          <w:szCs w:val="24"/>
        </w:rPr>
        <w:t>2018 was on the back of stronger performances in mining and agriculture, water and electricity generation</w:t>
      </w:r>
      <w:r w:rsidR="00F14C24">
        <w:rPr>
          <w:rFonts w:ascii="Tahoma" w:hAnsi="Tahoma" w:cs="Tahoma"/>
          <w:sz w:val="24"/>
          <w:szCs w:val="24"/>
        </w:rPr>
        <w:t xml:space="preserve"> sectors</w:t>
      </w:r>
      <w:r w:rsidR="00BD1E36">
        <w:rPr>
          <w:rFonts w:ascii="Tahoma" w:hAnsi="Tahoma" w:cs="Tahoma"/>
          <w:sz w:val="24"/>
          <w:szCs w:val="24"/>
        </w:rPr>
        <w:t>.</w:t>
      </w:r>
    </w:p>
    <w:p w:rsidR="009675FA" w:rsidRPr="00C24791" w:rsidRDefault="009675FA" w:rsidP="009675FA">
      <w:pPr>
        <w:spacing w:after="0" w:line="360" w:lineRule="auto"/>
        <w:jc w:val="both"/>
        <w:rPr>
          <w:rFonts w:ascii="Tahoma" w:hAnsi="Tahoma" w:cs="Tahoma"/>
          <w:sz w:val="24"/>
          <w:szCs w:val="24"/>
        </w:rPr>
      </w:pPr>
    </w:p>
    <w:p w:rsidR="009675FA" w:rsidRDefault="009675FA" w:rsidP="0072299B">
      <w:pPr>
        <w:pStyle w:val="ListParagraph"/>
        <w:numPr>
          <w:ilvl w:val="0"/>
          <w:numId w:val="1"/>
        </w:numPr>
        <w:spacing w:after="160" w:line="360" w:lineRule="auto"/>
        <w:ind w:left="567" w:hanging="567"/>
        <w:jc w:val="both"/>
        <w:rPr>
          <w:rFonts w:ascii="Tahoma" w:hAnsi="Tahoma" w:cs="Tahoma"/>
          <w:sz w:val="24"/>
          <w:szCs w:val="24"/>
        </w:rPr>
      </w:pPr>
      <w:r w:rsidRPr="00C24791">
        <w:rPr>
          <w:rFonts w:ascii="Tahoma" w:hAnsi="Tahoma" w:cs="Tahoma"/>
          <w:sz w:val="24"/>
          <w:szCs w:val="24"/>
        </w:rPr>
        <w:t xml:space="preserve">However, in 2019, GDP growth </w:t>
      </w:r>
      <w:r w:rsidR="00BD1E36">
        <w:rPr>
          <w:rFonts w:ascii="Tahoma" w:hAnsi="Tahoma" w:cs="Tahoma"/>
          <w:sz w:val="24"/>
          <w:szCs w:val="24"/>
        </w:rPr>
        <w:t>is expected to be weighed down</w:t>
      </w:r>
      <w:r w:rsidRPr="00C24791">
        <w:rPr>
          <w:rFonts w:ascii="Tahoma" w:hAnsi="Tahoma" w:cs="Tahoma"/>
          <w:sz w:val="24"/>
          <w:szCs w:val="24"/>
        </w:rPr>
        <w:t xml:space="preserve"> </w:t>
      </w:r>
      <w:r w:rsidR="00BD1E36">
        <w:rPr>
          <w:rFonts w:ascii="Tahoma" w:hAnsi="Tahoma" w:cs="Tahoma"/>
          <w:sz w:val="24"/>
          <w:szCs w:val="24"/>
        </w:rPr>
        <w:t xml:space="preserve">by </w:t>
      </w:r>
      <w:r w:rsidRPr="00C24791">
        <w:rPr>
          <w:rFonts w:ascii="Tahoma" w:hAnsi="Tahoma" w:cs="Tahoma"/>
          <w:sz w:val="24"/>
          <w:szCs w:val="24"/>
        </w:rPr>
        <w:t>the impact of the un-favourable El-Nino induced drought, the devastating destruction of Cyclone I</w:t>
      </w:r>
      <w:r w:rsidR="00D864F3">
        <w:rPr>
          <w:rFonts w:ascii="Tahoma" w:hAnsi="Tahoma" w:cs="Tahoma"/>
          <w:sz w:val="24"/>
          <w:szCs w:val="24"/>
        </w:rPr>
        <w:t>dai</w:t>
      </w:r>
      <w:r w:rsidRPr="00C24791">
        <w:rPr>
          <w:rFonts w:ascii="Tahoma" w:hAnsi="Tahoma" w:cs="Tahoma"/>
          <w:sz w:val="24"/>
          <w:szCs w:val="24"/>
        </w:rPr>
        <w:t xml:space="preserve">, foreign currency shortages and constrained spending being imposed by fiscal reforms. </w:t>
      </w:r>
    </w:p>
    <w:p w:rsidR="00F14C24" w:rsidRPr="00F14C24" w:rsidRDefault="00F14C24" w:rsidP="00A266D2">
      <w:pPr>
        <w:spacing w:after="0" w:line="360" w:lineRule="auto"/>
        <w:jc w:val="both"/>
        <w:rPr>
          <w:rFonts w:ascii="Tahoma" w:hAnsi="Tahoma" w:cs="Tahoma"/>
          <w:sz w:val="24"/>
          <w:szCs w:val="24"/>
        </w:rPr>
      </w:pPr>
    </w:p>
    <w:p w:rsidR="009675FA" w:rsidRPr="00C24791" w:rsidRDefault="009675FA" w:rsidP="009675FA">
      <w:pPr>
        <w:pStyle w:val="ListParagraph"/>
        <w:spacing w:after="0" w:line="360" w:lineRule="auto"/>
        <w:ind w:left="567"/>
        <w:rPr>
          <w:rFonts w:ascii="Tahoma" w:hAnsi="Tahoma" w:cs="Tahoma"/>
          <w:b/>
          <w:i/>
          <w:sz w:val="24"/>
          <w:szCs w:val="24"/>
        </w:rPr>
      </w:pPr>
      <w:r w:rsidRPr="00C24791">
        <w:rPr>
          <w:rFonts w:ascii="Tahoma" w:hAnsi="Tahoma" w:cs="Tahoma"/>
          <w:b/>
          <w:i/>
          <w:sz w:val="24"/>
          <w:szCs w:val="24"/>
        </w:rPr>
        <w:t>Revised Fiscal Framework: 2019</w:t>
      </w:r>
    </w:p>
    <w:p w:rsidR="009675FA" w:rsidRPr="003559BE" w:rsidRDefault="009675FA" w:rsidP="009675FA">
      <w:pPr>
        <w:spacing w:after="0" w:line="360" w:lineRule="auto"/>
        <w:jc w:val="both"/>
        <w:rPr>
          <w:rFonts w:ascii="Tahoma" w:hAnsi="Tahoma" w:cs="Tahoma"/>
          <w:sz w:val="14"/>
          <w:szCs w:val="14"/>
        </w:rPr>
      </w:pPr>
    </w:p>
    <w:p w:rsidR="009675FA" w:rsidRPr="00C24791" w:rsidRDefault="009675FA" w:rsidP="0072299B">
      <w:pPr>
        <w:pStyle w:val="ListParagraph"/>
        <w:numPr>
          <w:ilvl w:val="0"/>
          <w:numId w:val="1"/>
        </w:numPr>
        <w:spacing w:after="160" w:line="360" w:lineRule="auto"/>
        <w:ind w:left="567" w:hanging="567"/>
        <w:jc w:val="both"/>
        <w:rPr>
          <w:rFonts w:ascii="Tahoma" w:hAnsi="Tahoma" w:cs="Tahoma"/>
          <w:sz w:val="24"/>
          <w:szCs w:val="24"/>
        </w:rPr>
      </w:pPr>
      <w:r w:rsidRPr="00C24791">
        <w:rPr>
          <w:rFonts w:ascii="Tahoma" w:hAnsi="Tahoma" w:cs="Tahoma"/>
          <w:sz w:val="24"/>
          <w:szCs w:val="24"/>
        </w:rPr>
        <w:t>The re</w:t>
      </w:r>
      <w:r w:rsidR="00F14C24">
        <w:rPr>
          <w:rFonts w:ascii="Tahoma" w:hAnsi="Tahoma" w:cs="Tahoma"/>
          <w:sz w:val="24"/>
          <w:szCs w:val="24"/>
        </w:rPr>
        <w:t xml:space="preserve">calibrated </w:t>
      </w:r>
      <w:r w:rsidRPr="00C24791">
        <w:rPr>
          <w:rFonts w:ascii="Tahoma" w:hAnsi="Tahoma" w:cs="Tahoma"/>
          <w:sz w:val="24"/>
          <w:szCs w:val="24"/>
        </w:rPr>
        <w:t>nominal GDP facilitated the development of an updated 2019 Fiscal Framework, with total expenditures of RTGS$12.2 billion, against anticipated revenue c</w:t>
      </w:r>
      <w:r w:rsidR="00BD1E36">
        <w:rPr>
          <w:rFonts w:ascii="Tahoma" w:hAnsi="Tahoma" w:cs="Tahoma"/>
          <w:sz w:val="24"/>
          <w:szCs w:val="24"/>
        </w:rPr>
        <w:t>ollections of RTG$9.3 billion.</w:t>
      </w:r>
    </w:p>
    <w:p w:rsidR="009675FA" w:rsidRPr="00C24791" w:rsidRDefault="009675FA" w:rsidP="009675FA">
      <w:pPr>
        <w:pStyle w:val="ListParagraph"/>
        <w:spacing w:after="0" w:line="360" w:lineRule="auto"/>
        <w:ind w:left="0"/>
        <w:jc w:val="both"/>
        <w:rPr>
          <w:rFonts w:ascii="Tahoma" w:hAnsi="Tahoma" w:cs="Tahoma"/>
          <w:sz w:val="24"/>
          <w:szCs w:val="24"/>
        </w:rPr>
      </w:pPr>
    </w:p>
    <w:p w:rsidR="009675FA" w:rsidRPr="001B2C9B" w:rsidRDefault="009675FA" w:rsidP="009675FA">
      <w:pPr>
        <w:spacing w:after="0" w:line="240" w:lineRule="auto"/>
        <w:ind w:left="567"/>
        <w:rPr>
          <w:rFonts w:ascii="Tahoma" w:hAnsi="Tahoma" w:cs="Tahoma"/>
          <w:b/>
        </w:rPr>
      </w:pPr>
      <w:r w:rsidRPr="001B2C9B">
        <w:rPr>
          <w:rFonts w:ascii="Tahoma" w:hAnsi="Tahoma" w:cs="Tahoma"/>
          <w:b/>
        </w:rPr>
        <w:t>2019 Revised Fiscal Framework</w:t>
      </w:r>
    </w:p>
    <w:tbl>
      <w:tblPr>
        <w:tblStyle w:val="GridTable4-Accent2"/>
        <w:tblW w:w="86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992"/>
        <w:gridCol w:w="992"/>
        <w:gridCol w:w="988"/>
        <w:gridCol w:w="1134"/>
      </w:tblGrid>
      <w:tr w:rsidR="009675FA" w:rsidRPr="001B2C9B" w:rsidTr="00B139DF">
        <w:trPr>
          <w:cnfStyle w:val="100000000000" w:firstRow="1" w:lastRow="0" w:firstColumn="0" w:lastColumn="0" w:oddVBand="0" w:evenVBand="0" w:oddHBand="0" w:evenHBand="0" w:firstRowFirstColumn="0" w:firstRowLastColumn="0" w:lastRowFirstColumn="0" w:lastRowLastColumn="0"/>
          <w:trHeight w:val="345"/>
          <w:tblHeader/>
        </w:trPr>
        <w:tc>
          <w:tcPr>
            <w:cnfStyle w:val="001000000000" w:firstRow="0" w:lastRow="0" w:firstColumn="1" w:lastColumn="0" w:oddVBand="0" w:evenVBand="0" w:oddHBand="0" w:evenHBand="0" w:firstRowFirstColumn="0" w:firstRowLastColumn="0" w:lastRowFirstColumn="0" w:lastRowLastColumn="0"/>
            <w:tcW w:w="4536" w:type="dxa"/>
            <w:vMerge w:val="restart"/>
            <w:tcBorders>
              <w:top w:val="none" w:sz="0" w:space="0" w:color="auto"/>
              <w:left w:val="none" w:sz="0" w:space="0" w:color="auto"/>
              <w:bottom w:val="none" w:sz="0" w:space="0" w:color="auto"/>
              <w:right w:val="none" w:sz="0" w:space="0" w:color="auto"/>
            </w:tcBorders>
            <w:shd w:val="clear" w:color="auto" w:fill="943634" w:themeFill="accent2" w:themeFillShade="BF"/>
            <w:noWrap/>
            <w:hideMark/>
          </w:tcPr>
          <w:p w:rsidR="009675FA" w:rsidRPr="001B2C9B" w:rsidRDefault="009675FA" w:rsidP="00B139DF">
            <w:pPr>
              <w:rPr>
                <w:rFonts w:ascii="Tahoma" w:eastAsia="Times New Roman" w:hAnsi="Tahoma" w:cs="Tahoma"/>
                <w:color w:val="auto"/>
                <w:sz w:val="20"/>
                <w:szCs w:val="20"/>
                <w:lang w:eastAsia="en-ZW"/>
              </w:rPr>
            </w:pPr>
          </w:p>
        </w:tc>
        <w:tc>
          <w:tcPr>
            <w:tcW w:w="992" w:type="dxa"/>
            <w:vMerge w:val="restart"/>
            <w:tcBorders>
              <w:top w:val="none" w:sz="0" w:space="0" w:color="auto"/>
              <w:left w:val="none" w:sz="0" w:space="0" w:color="auto"/>
              <w:bottom w:val="none" w:sz="0" w:space="0" w:color="auto"/>
              <w:right w:val="none" w:sz="0" w:space="0" w:color="auto"/>
            </w:tcBorders>
            <w:shd w:val="clear" w:color="auto" w:fill="943634" w:themeFill="accent2" w:themeFillShade="BF"/>
            <w:noWrap/>
            <w:hideMark/>
          </w:tcPr>
          <w:p w:rsidR="009675FA" w:rsidRPr="008F47F5" w:rsidRDefault="009675FA" w:rsidP="00B139DF">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lang w:eastAsia="en-ZW"/>
              </w:rPr>
            </w:pPr>
            <w:r w:rsidRPr="008F47F5">
              <w:rPr>
                <w:rFonts w:ascii="Tahoma" w:eastAsia="Times New Roman" w:hAnsi="Tahoma" w:cs="Tahoma"/>
                <w:color w:val="auto"/>
                <w:sz w:val="20"/>
                <w:szCs w:val="20"/>
                <w:lang w:eastAsia="en-ZW"/>
              </w:rPr>
              <w:t>2017</w:t>
            </w:r>
          </w:p>
          <w:p w:rsidR="009675FA" w:rsidRPr="008F47F5" w:rsidRDefault="009675FA" w:rsidP="00B139DF">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lang w:eastAsia="en-ZW"/>
              </w:rPr>
            </w:pPr>
            <w:r w:rsidRPr="008F47F5">
              <w:rPr>
                <w:rFonts w:ascii="Tahoma" w:eastAsia="Times New Roman" w:hAnsi="Tahoma" w:cs="Tahoma"/>
                <w:color w:val="auto"/>
                <w:sz w:val="20"/>
                <w:szCs w:val="20"/>
                <w:lang w:eastAsia="en-ZW"/>
              </w:rPr>
              <w:t>Act.</w:t>
            </w:r>
          </w:p>
        </w:tc>
        <w:tc>
          <w:tcPr>
            <w:tcW w:w="992" w:type="dxa"/>
            <w:vMerge w:val="restart"/>
            <w:tcBorders>
              <w:top w:val="none" w:sz="0" w:space="0" w:color="auto"/>
              <w:left w:val="none" w:sz="0" w:space="0" w:color="auto"/>
              <w:bottom w:val="none" w:sz="0" w:space="0" w:color="auto"/>
              <w:right w:val="none" w:sz="0" w:space="0" w:color="auto"/>
            </w:tcBorders>
            <w:shd w:val="clear" w:color="auto" w:fill="943634" w:themeFill="accent2" w:themeFillShade="BF"/>
            <w:noWrap/>
            <w:hideMark/>
          </w:tcPr>
          <w:p w:rsidR="009675FA" w:rsidRPr="008F47F5" w:rsidRDefault="009675FA" w:rsidP="00B139DF">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lang w:eastAsia="en-ZW"/>
              </w:rPr>
            </w:pPr>
            <w:r w:rsidRPr="008F47F5">
              <w:rPr>
                <w:rFonts w:ascii="Tahoma" w:eastAsia="Times New Roman" w:hAnsi="Tahoma" w:cs="Tahoma"/>
                <w:color w:val="auto"/>
                <w:sz w:val="20"/>
                <w:szCs w:val="20"/>
                <w:lang w:eastAsia="en-ZW"/>
              </w:rPr>
              <w:t>2018</w:t>
            </w:r>
          </w:p>
          <w:p w:rsidR="009675FA" w:rsidRPr="008F47F5" w:rsidRDefault="009675FA" w:rsidP="00B139DF">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lang w:eastAsia="en-ZW"/>
              </w:rPr>
            </w:pPr>
            <w:r w:rsidRPr="008F47F5">
              <w:rPr>
                <w:rFonts w:ascii="Tahoma" w:eastAsia="Times New Roman" w:hAnsi="Tahoma" w:cs="Tahoma"/>
                <w:color w:val="auto"/>
                <w:sz w:val="20"/>
                <w:szCs w:val="20"/>
                <w:lang w:eastAsia="en-ZW"/>
              </w:rPr>
              <w:t>Prel.</w:t>
            </w:r>
          </w:p>
        </w:tc>
        <w:tc>
          <w:tcPr>
            <w:tcW w:w="2122" w:type="dxa"/>
            <w:gridSpan w:val="2"/>
            <w:tcBorders>
              <w:top w:val="none" w:sz="0" w:space="0" w:color="auto"/>
              <w:left w:val="none" w:sz="0" w:space="0" w:color="auto"/>
              <w:bottom w:val="none" w:sz="0" w:space="0" w:color="auto"/>
              <w:right w:val="none" w:sz="0" w:space="0" w:color="auto"/>
            </w:tcBorders>
            <w:shd w:val="clear" w:color="auto" w:fill="943634" w:themeFill="accent2" w:themeFillShade="BF"/>
            <w:noWrap/>
            <w:hideMark/>
          </w:tcPr>
          <w:p w:rsidR="009675FA" w:rsidRPr="008F47F5" w:rsidRDefault="009675FA" w:rsidP="00B139DF">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lang w:eastAsia="en-ZW"/>
              </w:rPr>
            </w:pPr>
            <w:r w:rsidRPr="008F47F5">
              <w:rPr>
                <w:rFonts w:ascii="Tahoma" w:eastAsia="Times New Roman" w:hAnsi="Tahoma" w:cs="Tahoma"/>
                <w:color w:val="auto"/>
                <w:sz w:val="20"/>
                <w:szCs w:val="20"/>
                <w:lang w:eastAsia="en-ZW"/>
              </w:rPr>
              <w:t>2019</w:t>
            </w:r>
          </w:p>
        </w:tc>
      </w:tr>
      <w:tr w:rsidR="009675FA" w:rsidRPr="001B2C9B" w:rsidTr="00B139DF">
        <w:trPr>
          <w:cnfStyle w:val="100000000000" w:firstRow="1" w:lastRow="0" w:firstColumn="0" w:lastColumn="0" w:oddVBand="0" w:evenVBand="0" w:oddHBand="0" w:evenHBand="0" w:firstRowFirstColumn="0" w:firstRowLastColumn="0" w:lastRowFirstColumn="0" w:lastRowLastColumn="0"/>
          <w:trHeight w:val="546"/>
          <w:tblHeader/>
        </w:trPr>
        <w:tc>
          <w:tcPr>
            <w:cnfStyle w:val="001000000000" w:firstRow="0" w:lastRow="0" w:firstColumn="1" w:lastColumn="0" w:oddVBand="0" w:evenVBand="0" w:oddHBand="0" w:evenHBand="0" w:firstRowFirstColumn="0" w:firstRowLastColumn="0" w:lastRowFirstColumn="0" w:lastRowLastColumn="0"/>
            <w:tcW w:w="4536" w:type="dxa"/>
            <w:vMerge/>
            <w:tcBorders>
              <w:top w:val="none" w:sz="0" w:space="0" w:color="auto"/>
              <w:left w:val="none" w:sz="0" w:space="0" w:color="auto"/>
              <w:bottom w:val="none" w:sz="0" w:space="0" w:color="auto"/>
              <w:right w:val="none" w:sz="0" w:space="0" w:color="auto"/>
            </w:tcBorders>
            <w:shd w:val="clear" w:color="auto" w:fill="943634" w:themeFill="accent2" w:themeFillShade="BF"/>
            <w:noWrap/>
            <w:hideMark/>
          </w:tcPr>
          <w:p w:rsidR="009675FA" w:rsidRPr="001B2C9B" w:rsidRDefault="009675FA" w:rsidP="00B139DF">
            <w:pPr>
              <w:rPr>
                <w:rFonts w:ascii="Tahoma" w:eastAsia="Times New Roman" w:hAnsi="Tahoma" w:cs="Tahoma"/>
                <w:sz w:val="20"/>
                <w:szCs w:val="20"/>
                <w:lang w:eastAsia="en-ZW"/>
              </w:rPr>
            </w:pPr>
          </w:p>
        </w:tc>
        <w:tc>
          <w:tcPr>
            <w:tcW w:w="992" w:type="dxa"/>
            <w:vMerge/>
            <w:tcBorders>
              <w:top w:val="none" w:sz="0" w:space="0" w:color="auto"/>
              <w:left w:val="none" w:sz="0" w:space="0" w:color="auto"/>
              <w:bottom w:val="none" w:sz="0" w:space="0" w:color="auto"/>
              <w:right w:val="none" w:sz="0" w:space="0" w:color="auto"/>
            </w:tcBorders>
            <w:shd w:val="clear" w:color="auto" w:fill="943634" w:themeFill="accent2" w:themeFillShade="BF"/>
            <w:noWrap/>
            <w:hideMark/>
          </w:tcPr>
          <w:p w:rsidR="009675FA" w:rsidRPr="008F47F5" w:rsidRDefault="009675FA" w:rsidP="00B139DF">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lang w:eastAsia="en-ZW"/>
              </w:rPr>
            </w:pPr>
          </w:p>
        </w:tc>
        <w:tc>
          <w:tcPr>
            <w:tcW w:w="992" w:type="dxa"/>
            <w:vMerge/>
            <w:tcBorders>
              <w:top w:val="none" w:sz="0" w:space="0" w:color="auto"/>
              <w:left w:val="none" w:sz="0" w:space="0" w:color="auto"/>
              <w:bottom w:val="none" w:sz="0" w:space="0" w:color="auto"/>
              <w:right w:val="none" w:sz="0" w:space="0" w:color="auto"/>
            </w:tcBorders>
            <w:shd w:val="clear" w:color="auto" w:fill="943634" w:themeFill="accent2" w:themeFillShade="BF"/>
            <w:noWrap/>
            <w:hideMark/>
          </w:tcPr>
          <w:p w:rsidR="009675FA" w:rsidRPr="008F47F5" w:rsidRDefault="009675FA" w:rsidP="00B139DF">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lang w:eastAsia="en-ZW"/>
              </w:rPr>
            </w:pPr>
          </w:p>
        </w:tc>
        <w:tc>
          <w:tcPr>
            <w:tcW w:w="988" w:type="dxa"/>
            <w:tcBorders>
              <w:top w:val="none" w:sz="0" w:space="0" w:color="auto"/>
              <w:left w:val="none" w:sz="0" w:space="0" w:color="auto"/>
              <w:bottom w:val="none" w:sz="0" w:space="0" w:color="auto"/>
              <w:right w:val="none" w:sz="0" w:space="0" w:color="auto"/>
            </w:tcBorders>
            <w:shd w:val="clear" w:color="auto" w:fill="943634" w:themeFill="accent2" w:themeFillShade="BF"/>
            <w:noWrap/>
            <w:hideMark/>
          </w:tcPr>
          <w:p w:rsidR="009675FA" w:rsidRPr="008F47F5" w:rsidRDefault="009675FA" w:rsidP="00B139DF">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lang w:eastAsia="en-ZW"/>
              </w:rPr>
            </w:pPr>
            <w:r w:rsidRPr="008F47F5">
              <w:rPr>
                <w:rFonts w:ascii="Tahoma" w:eastAsia="Times New Roman" w:hAnsi="Tahoma" w:cs="Tahoma"/>
                <w:color w:val="auto"/>
                <w:sz w:val="20"/>
                <w:szCs w:val="20"/>
                <w:lang w:eastAsia="en-ZW"/>
              </w:rPr>
              <w:t>Orig Budget</w:t>
            </w:r>
          </w:p>
        </w:tc>
        <w:tc>
          <w:tcPr>
            <w:tcW w:w="1134" w:type="dxa"/>
            <w:tcBorders>
              <w:top w:val="none" w:sz="0" w:space="0" w:color="auto"/>
              <w:left w:val="none" w:sz="0" w:space="0" w:color="auto"/>
              <w:bottom w:val="none" w:sz="0" w:space="0" w:color="auto"/>
              <w:right w:val="none" w:sz="0" w:space="0" w:color="auto"/>
            </w:tcBorders>
            <w:shd w:val="clear" w:color="auto" w:fill="943634" w:themeFill="accent2" w:themeFillShade="BF"/>
            <w:noWrap/>
            <w:hideMark/>
          </w:tcPr>
          <w:p w:rsidR="009675FA" w:rsidRPr="008F47F5" w:rsidRDefault="009675FA" w:rsidP="00B139DF">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lang w:eastAsia="en-ZW"/>
              </w:rPr>
            </w:pPr>
            <w:r w:rsidRPr="008F47F5">
              <w:rPr>
                <w:rFonts w:ascii="Tahoma" w:eastAsia="Times New Roman" w:hAnsi="Tahoma" w:cs="Tahoma"/>
                <w:color w:val="auto"/>
                <w:sz w:val="20"/>
                <w:szCs w:val="20"/>
                <w:lang w:eastAsia="en-ZW"/>
              </w:rPr>
              <w:t>Rev.</w:t>
            </w:r>
          </w:p>
          <w:p w:rsidR="009675FA" w:rsidRPr="008F47F5" w:rsidRDefault="009675FA" w:rsidP="00B139DF">
            <w:pPr>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lang w:eastAsia="en-ZW"/>
              </w:rPr>
            </w:pPr>
            <w:r w:rsidRPr="008F47F5">
              <w:rPr>
                <w:rFonts w:ascii="Tahoma" w:eastAsia="Times New Roman" w:hAnsi="Tahoma" w:cs="Tahoma"/>
                <w:color w:val="auto"/>
                <w:sz w:val="20"/>
                <w:szCs w:val="20"/>
                <w:lang w:eastAsia="en-ZW"/>
              </w:rPr>
              <w:t>Budget</w:t>
            </w:r>
          </w:p>
        </w:tc>
      </w:tr>
      <w:tr w:rsidR="009675FA" w:rsidRPr="001B2C9B" w:rsidTr="00B139D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1"/>
            <w:noWrap/>
            <w:hideMark/>
          </w:tcPr>
          <w:p w:rsidR="009675FA" w:rsidRPr="001B2C9B" w:rsidRDefault="009675FA" w:rsidP="00B139DF">
            <w:pPr>
              <w:rPr>
                <w:rFonts w:ascii="Tahoma" w:eastAsia="Times New Roman" w:hAnsi="Tahoma" w:cs="Tahoma"/>
                <w:sz w:val="20"/>
                <w:szCs w:val="20"/>
                <w:lang w:eastAsia="en-ZW"/>
              </w:rPr>
            </w:pPr>
            <w:r w:rsidRPr="001B2C9B">
              <w:rPr>
                <w:rFonts w:ascii="Tahoma" w:eastAsia="Times New Roman" w:hAnsi="Tahoma" w:cs="Tahoma"/>
                <w:sz w:val="20"/>
                <w:szCs w:val="20"/>
                <w:lang w:eastAsia="en-ZW"/>
              </w:rPr>
              <w:t> </w:t>
            </w:r>
          </w:p>
        </w:tc>
        <w:tc>
          <w:tcPr>
            <w:tcW w:w="992" w:type="dxa"/>
            <w:shd w:val="clear" w:color="auto" w:fill="FFFFFF" w:themeFill="background1"/>
            <w:noWrap/>
            <w:hideMark/>
          </w:tcPr>
          <w:p w:rsidR="009675FA" w:rsidRPr="001B2C9B" w:rsidRDefault="009675FA" w:rsidP="00B139DF">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 </w:t>
            </w:r>
          </w:p>
        </w:tc>
        <w:tc>
          <w:tcPr>
            <w:tcW w:w="992" w:type="dxa"/>
            <w:shd w:val="clear" w:color="auto" w:fill="FFFFFF" w:themeFill="background1"/>
            <w:noWrap/>
            <w:hideMark/>
          </w:tcPr>
          <w:p w:rsidR="009675FA" w:rsidRPr="001B2C9B" w:rsidRDefault="009675FA" w:rsidP="00B139DF">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 </w:t>
            </w:r>
          </w:p>
        </w:tc>
        <w:tc>
          <w:tcPr>
            <w:tcW w:w="988" w:type="dxa"/>
            <w:shd w:val="clear" w:color="auto" w:fill="FFFFFF" w:themeFill="background1"/>
            <w:noWrap/>
            <w:hideMark/>
          </w:tcPr>
          <w:p w:rsidR="009675FA" w:rsidRPr="001B2C9B" w:rsidRDefault="009675FA" w:rsidP="00B139DF">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 </w:t>
            </w:r>
          </w:p>
        </w:tc>
        <w:tc>
          <w:tcPr>
            <w:tcW w:w="1134" w:type="dxa"/>
            <w:shd w:val="clear" w:color="auto" w:fill="FFFFFF" w:themeFill="background1"/>
            <w:noWrap/>
            <w:hideMark/>
          </w:tcPr>
          <w:p w:rsidR="009675FA" w:rsidRPr="001B2C9B" w:rsidRDefault="009675FA" w:rsidP="00B139DF">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 </w:t>
            </w:r>
          </w:p>
        </w:tc>
      </w:tr>
      <w:tr w:rsidR="009675FA" w:rsidRPr="001B2C9B" w:rsidTr="00B139DF">
        <w:trPr>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2DBDB" w:themeFill="accent2" w:themeFillTint="33"/>
            <w:noWrap/>
            <w:hideMark/>
          </w:tcPr>
          <w:p w:rsidR="009675FA" w:rsidRPr="001B2C9B" w:rsidRDefault="009675FA" w:rsidP="00B139DF">
            <w:pPr>
              <w:rPr>
                <w:rFonts w:ascii="Tahoma" w:eastAsia="Times New Roman" w:hAnsi="Tahoma" w:cs="Tahoma"/>
                <w:b w:val="0"/>
                <w:bCs w:val="0"/>
                <w:sz w:val="20"/>
                <w:szCs w:val="20"/>
                <w:lang w:eastAsia="en-ZW"/>
              </w:rPr>
            </w:pPr>
            <w:r w:rsidRPr="001B2C9B">
              <w:rPr>
                <w:rFonts w:ascii="Tahoma" w:eastAsia="Times New Roman" w:hAnsi="Tahoma" w:cs="Tahoma"/>
                <w:b w:val="0"/>
                <w:bCs w:val="0"/>
                <w:sz w:val="20"/>
                <w:szCs w:val="20"/>
                <w:lang w:eastAsia="en-ZW"/>
              </w:rPr>
              <w:t>Revenue and grants</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3,870</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5,491</w:t>
            </w:r>
          </w:p>
        </w:tc>
        <w:tc>
          <w:tcPr>
            <w:tcW w:w="988"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6,199</w:t>
            </w:r>
          </w:p>
        </w:tc>
        <w:tc>
          <w:tcPr>
            <w:tcW w:w="1134"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9,367</w:t>
            </w:r>
          </w:p>
        </w:tc>
      </w:tr>
      <w:tr w:rsidR="009675FA" w:rsidRPr="001B2C9B" w:rsidTr="00B139D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1"/>
            <w:noWrap/>
            <w:hideMark/>
          </w:tcPr>
          <w:p w:rsidR="009675FA" w:rsidRPr="001B2C9B" w:rsidRDefault="009675FA" w:rsidP="00B139DF">
            <w:pPr>
              <w:ind w:firstLineChars="100" w:firstLine="200"/>
              <w:rPr>
                <w:rFonts w:ascii="Tahoma" w:eastAsia="Times New Roman" w:hAnsi="Tahoma" w:cs="Tahoma"/>
                <w:sz w:val="20"/>
                <w:szCs w:val="20"/>
                <w:lang w:eastAsia="en-ZW"/>
              </w:rPr>
            </w:pPr>
            <w:r w:rsidRPr="001B2C9B">
              <w:rPr>
                <w:rFonts w:ascii="Tahoma" w:eastAsia="Times New Roman" w:hAnsi="Tahoma" w:cs="Tahoma"/>
                <w:sz w:val="20"/>
                <w:szCs w:val="20"/>
                <w:lang w:eastAsia="en-ZW"/>
              </w:rPr>
              <w:t>Tax revenue</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3,628</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5,000</w:t>
            </w:r>
          </w:p>
        </w:tc>
        <w:tc>
          <w:tcPr>
            <w:tcW w:w="988"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6,037</w:t>
            </w:r>
          </w:p>
        </w:tc>
        <w:tc>
          <w:tcPr>
            <w:tcW w:w="1134"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8,598</w:t>
            </w:r>
          </w:p>
        </w:tc>
      </w:tr>
      <w:tr w:rsidR="009675FA" w:rsidRPr="001B2C9B" w:rsidTr="00B139DF">
        <w:trPr>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2DBDB" w:themeFill="accent2" w:themeFillTint="33"/>
            <w:noWrap/>
            <w:hideMark/>
          </w:tcPr>
          <w:p w:rsidR="009675FA" w:rsidRPr="001B2C9B" w:rsidRDefault="009675FA" w:rsidP="00B139DF">
            <w:pPr>
              <w:ind w:firstLineChars="200" w:firstLine="400"/>
              <w:rPr>
                <w:rFonts w:ascii="Tahoma" w:eastAsia="Times New Roman" w:hAnsi="Tahoma" w:cs="Tahoma"/>
                <w:b w:val="0"/>
                <w:sz w:val="20"/>
                <w:szCs w:val="20"/>
                <w:lang w:eastAsia="en-ZW"/>
              </w:rPr>
            </w:pPr>
            <w:r w:rsidRPr="001B2C9B">
              <w:rPr>
                <w:rFonts w:ascii="Tahoma" w:eastAsia="Times New Roman" w:hAnsi="Tahoma" w:cs="Tahoma"/>
                <w:b w:val="0"/>
                <w:sz w:val="20"/>
                <w:szCs w:val="20"/>
                <w:lang w:eastAsia="en-ZW"/>
              </w:rPr>
              <w:t>Personal income tax</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729</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856</w:t>
            </w:r>
          </w:p>
        </w:tc>
        <w:tc>
          <w:tcPr>
            <w:tcW w:w="988"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971</w:t>
            </w:r>
          </w:p>
        </w:tc>
        <w:tc>
          <w:tcPr>
            <w:tcW w:w="1134"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1068</w:t>
            </w:r>
          </w:p>
        </w:tc>
      </w:tr>
      <w:tr w:rsidR="009675FA" w:rsidRPr="001B2C9B" w:rsidTr="00B139D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1"/>
            <w:noWrap/>
            <w:hideMark/>
          </w:tcPr>
          <w:p w:rsidR="009675FA" w:rsidRPr="001B2C9B" w:rsidRDefault="009675FA" w:rsidP="00B139DF">
            <w:pPr>
              <w:ind w:firstLineChars="200" w:firstLine="400"/>
              <w:rPr>
                <w:rFonts w:ascii="Tahoma" w:eastAsia="Times New Roman" w:hAnsi="Tahoma" w:cs="Tahoma"/>
                <w:b w:val="0"/>
                <w:sz w:val="20"/>
                <w:szCs w:val="20"/>
                <w:lang w:eastAsia="en-ZW"/>
              </w:rPr>
            </w:pPr>
            <w:r w:rsidRPr="001B2C9B">
              <w:rPr>
                <w:rFonts w:ascii="Tahoma" w:eastAsia="Times New Roman" w:hAnsi="Tahoma" w:cs="Tahoma"/>
                <w:b w:val="0"/>
                <w:sz w:val="20"/>
                <w:szCs w:val="20"/>
                <w:lang w:eastAsia="en-ZW"/>
              </w:rPr>
              <w:t>Corporate income tax</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485</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802</w:t>
            </w:r>
          </w:p>
        </w:tc>
        <w:tc>
          <w:tcPr>
            <w:tcW w:w="988"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784</w:t>
            </w:r>
          </w:p>
        </w:tc>
        <w:tc>
          <w:tcPr>
            <w:tcW w:w="1134"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1034</w:t>
            </w:r>
          </w:p>
        </w:tc>
      </w:tr>
      <w:tr w:rsidR="009675FA" w:rsidRPr="001B2C9B" w:rsidTr="00B139DF">
        <w:trPr>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2DBDB" w:themeFill="accent2" w:themeFillTint="33"/>
            <w:noWrap/>
            <w:hideMark/>
          </w:tcPr>
          <w:p w:rsidR="009675FA" w:rsidRPr="001B2C9B" w:rsidRDefault="009675FA" w:rsidP="00B139DF">
            <w:pPr>
              <w:ind w:firstLineChars="200" w:firstLine="400"/>
              <w:rPr>
                <w:rFonts w:ascii="Tahoma" w:eastAsia="Times New Roman" w:hAnsi="Tahoma" w:cs="Tahoma"/>
                <w:b w:val="0"/>
                <w:sz w:val="20"/>
                <w:szCs w:val="20"/>
                <w:lang w:eastAsia="en-ZW"/>
              </w:rPr>
            </w:pPr>
            <w:r w:rsidRPr="001B2C9B">
              <w:rPr>
                <w:rFonts w:ascii="Tahoma" w:eastAsia="Times New Roman" w:hAnsi="Tahoma" w:cs="Tahoma"/>
                <w:b w:val="0"/>
                <w:sz w:val="20"/>
                <w:szCs w:val="20"/>
                <w:lang w:eastAsia="en-ZW"/>
              </w:rPr>
              <w:lastRenderedPageBreak/>
              <w:t>Other direct taxes</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203</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261</w:t>
            </w:r>
          </w:p>
        </w:tc>
        <w:tc>
          <w:tcPr>
            <w:tcW w:w="988"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295</w:t>
            </w:r>
          </w:p>
        </w:tc>
        <w:tc>
          <w:tcPr>
            <w:tcW w:w="1134"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344</w:t>
            </w:r>
          </w:p>
        </w:tc>
      </w:tr>
      <w:tr w:rsidR="009675FA" w:rsidRPr="001B2C9B" w:rsidTr="00B139D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1"/>
            <w:noWrap/>
            <w:hideMark/>
          </w:tcPr>
          <w:p w:rsidR="009675FA" w:rsidRPr="001B2C9B" w:rsidRDefault="009675FA" w:rsidP="00B139DF">
            <w:pPr>
              <w:ind w:firstLineChars="200" w:firstLine="400"/>
              <w:rPr>
                <w:rFonts w:ascii="Tahoma" w:eastAsia="Times New Roman" w:hAnsi="Tahoma" w:cs="Tahoma"/>
                <w:b w:val="0"/>
                <w:sz w:val="20"/>
                <w:szCs w:val="20"/>
                <w:lang w:eastAsia="en-ZW"/>
              </w:rPr>
            </w:pPr>
            <w:r w:rsidRPr="001B2C9B">
              <w:rPr>
                <w:rFonts w:ascii="Tahoma" w:eastAsia="Times New Roman" w:hAnsi="Tahoma" w:cs="Tahoma"/>
                <w:b w:val="0"/>
                <w:sz w:val="20"/>
                <w:szCs w:val="20"/>
                <w:lang w:eastAsia="en-ZW"/>
              </w:rPr>
              <w:t>Customs</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295</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433</w:t>
            </w:r>
          </w:p>
        </w:tc>
        <w:tc>
          <w:tcPr>
            <w:tcW w:w="988"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485</w:t>
            </w:r>
          </w:p>
        </w:tc>
        <w:tc>
          <w:tcPr>
            <w:tcW w:w="1134"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631</w:t>
            </w:r>
          </w:p>
        </w:tc>
      </w:tr>
      <w:tr w:rsidR="009675FA" w:rsidRPr="001B2C9B" w:rsidTr="00B139DF">
        <w:trPr>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2DBDB" w:themeFill="accent2" w:themeFillTint="33"/>
            <w:noWrap/>
            <w:hideMark/>
          </w:tcPr>
          <w:p w:rsidR="009675FA" w:rsidRPr="001B2C9B" w:rsidRDefault="009675FA" w:rsidP="00B139DF">
            <w:pPr>
              <w:ind w:firstLineChars="200" w:firstLine="400"/>
              <w:rPr>
                <w:rFonts w:ascii="Tahoma" w:eastAsia="Times New Roman" w:hAnsi="Tahoma" w:cs="Tahoma"/>
                <w:b w:val="0"/>
                <w:sz w:val="20"/>
                <w:szCs w:val="20"/>
                <w:lang w:eastAsia="en-ZW"/>
              </w:rPr>
            </w:pPr>
            <w:r w:rsidRPr="001B2C9B">
              <w:rPr>
                <w:rFonts w:ascii="Tahoma" w:eastAsia="Times New Roman" w:hAnsi="Tahoma" w:cs="Tahoma"/>
                <w:b w:val="0"/>
                <w:sz w:val="20"/>
                <w:szCs w:val="20"/>
                <w:lang w:eastAsia="en-ZW"/>
              </w:rPr>
              <w:t>Excise</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676</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909</w:t>
            </w:r>
          </w:p>
        </w:tc>
        <w:tc>
          <w:tcPr>
            <w:tcW w:w="988"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944</w:t>
            </w:r>
          </w:p>
        </w:tc>
        <w:tc>
          <w:tcPr>
            <w:tcW w:w="1134"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2000</w:t>
            </w:r>
          </w:p>
        </w:tc>
      </w:tr>
      <w:tr w:rsidR="009675FA" w:rsidRPr="001B2C9B" w:rsidTr="00B139D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1"/>
            <w:noWrap/>
            <w:hideMark/>
          </w:tcPr>
          <w:p w:rsidR="009675FA" w:rsidRPr="001B2C9B" w:rsidRDefault="009675FA" w:rsidP="00B139DF">
            <w:pPr>
              <w:ind w:firstLineChars="200" w:firstLine="400"/>
              <w:rPr>
                <w:rFonts w:ascii="Tahoma" w:eastAsia="Times New Roman" w:hAnsi="Tahoma" w:cs="Tahoma"/>
                <w:b w:val="0"/>
                <w:sz w:val="20"/>
                <w:szCs w:val="20"/>
                <w:lang w:eastAsia="en-ZW"/>
              </w:rPr>
            </w:pPr>
            <w:r w:rsidRPr="001B2C9B">
              <w:rPr>
                <w:rFonts w:ascii="Tahoma" w:eastAsia="Times New Roman" w:hAnsi="Tahoma" w:cs="Tahoma"/>
                <w:b w:val="0"/>
                <w:sz w:val="20"/>
                <w:szCs w:val="20"/>
                <w:lang w:eastAsia="en-ZW"/>
              </w:rPr>
              <w:t>VAT</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1,075</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1,363</w:t>
            </w:r>
          </w:p>
        </w:tc>
        <w:tc>
          <w:tcPr>
            <w:tcW w:w="988"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1,697</w:t>
            </w:r>
          </w:p>
        </w:tc>
        <w:tc>
          <w:tcPr>
            <w:tcW w:w="1134"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2,150</w:t>
            </w:r>
          </w:p>
        </w:tc>
      </w:tr>
      <w:tr w:rsidR="009675FA" w:rsidRPr="001B2C9B" w:rsidTr="00B139DF">
        <w:trPr>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2DBDB" w:themeFill="accent2" w:themeFillTint="33"/>
            <w:noWrap/>
            <w:hideMark/>
          </w:tcPr>
          <w:p w:rsidR="009675FA" w:rsidRPr="001B2C9B" w:rsidRDefault="009675FA" w:rsidP="00B139DF">
            <w:pPr>
              <w:ind w:firstLineChars="200" w:firstLine="400"/>
              <w:rPr>
                <w:rFonts w:ascii="Tahoma" w:eastAsia="Times New Roman" w:hAnsi="Tahoma" w:cs="Tahoma"/>
                <w:b w:val="0"/>
                <w:sz w:val="20"/>
                <w:szCs w:val="20"/>
                <w:lang w:eastAsia="en-ZW"/>
              </w:rPr>
            </w:pPr>
            <w:r w:rsidRPr="001B2C9B">
              <w:rPr>
                <w:rFonts w:ascii="Tahoma" w:eastAsia="Times New Roman" w:hAnsi="Tahoma" w:cs="Tahoma"/>
                <w:b w:val="0"/>
                <w:sz w:val="20"/>
                <w:szCs w:val="20"/>
                <w:lang w:eastAsia="en-ZW"/>
              </w:rPr>
              <w:t>Other indirect taxes</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165</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377</w:t>
            </w:r>
          </w:p>
        </w:tc>
        <w:tc>
          <w:tcPr>
            <w:tcW w:w="988"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862</w:t>
            </w:r>
          </w:p>
        </w:tc>
        <w:tc>
          <w:tcPr>
            <w:tcW w:w="1134"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1372</w:t>
            </w:r>
          </w:p>
        </w:tc>
      </w:tr>
      <w:tr w:rsidR="009675FA" w:rsidRPr="001B2C9B" w:rsidTr="00B139D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1"/>
            <w:noWrap/>
            <w:hideMark/>
          </w:tcPr>
          <w:p w:rsidR="009675FA" w:rsidRPr="001B2C9B" w:rsidRDefault="009675FA" w:rsidP="00B139DF">
            <w:pPr>
              <w:ind w:firstLineChars="100" w:firstLine="200"/>
              <w:rPr>
                <w:rFonts w:ascii="Tahoma" w:eastAsia="Times New Roman" w:hAnsi="Tahoma" w:cs="Tahoma"/>
                <w:sz w:val="20"/>
                <w:szCs w:val="20"/>
                <w:lang w:eastAsia="en-ZW"/>
              </w:rPr>
            </w:pPr>
            <w:r w:rsidRPr="001B2C9B">
              <w:rPr>
                <w:rFonts w:ascii="Tahoma" w:eastAsia="Times New Roman" w:hAnsi="Tahoma" w:cs="Tahoma"/>
                <w:sz w:val="20"/>
                <w:szCs w:val="20"/>
                <w:lang w:eastAsia="en-ZW"/>
              </w:rPr>
              <w:t>Non-tax revenue</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242</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491</w:t>
            </w:r>
          </w:p>
        </w:tc>
        <w:tc>
          <w:tcPr>
            <w:tcW w:w="988"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162</w:t>
            </w:r>
          </w:p>
        </w:tc>
        <w:tc>
          <w:tcPr>
            <w:tcW w:w="1134"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769</w:t>
            </w:r>
          </w:p>
        </w:tc>
      </w:tr>
      <w:tr w:rsidR="009675FA" w:rsidRPr="001B2C9B" w:rsidTr="00B139DF">
        <w:trPr>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2DBDB" w:themeFill="accent2" w:themeFillTint="33"/>
            <w:noWrap/>
            <w:hideMark/>
          </w:tcPr>
          <w:p w:rsidR="009675FA" w:rsidRPr="001B2C9B" w:rsidRDefault="009675FA" w:rsidP="00B139DF">
            <w:pPr>
              <w:ind w:firstLineChars="100" w:firstLine="200"/>
              <w:rPr>
                <w:rFonts w:ascii="Tahoma" w:eastAsia="Times New Roman" w:hAnsi="Tahoma" w:cs="Tahoma"/>
                <w:sz w:val="20"/>
                <w:szCs w:val="20"/>
                <w:lang w:eastAsia="en-ZW"/>
              </w:rPr>
            </w:pPr>
            <w:r w:rsidRPr="001B2C9B">
              <w:rPr>
                <w:rFonts w:ascii="Tahoma" w:eastAsia="Times New Roman" w:hAnsi="Tahoma" w:cs="Tahoma"/>
                <w:sz w:val="20"/>
                <w:szCs w:val="20"/>
                <w:lang w:eastAsia="en-ZW"/>
              </w:rPr>
              <w:t>Grants</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0</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0</w:t>
            </w:r>
          </w:p>
        </w:tc>
        <w:tc>
          <w:tcPr>
            <w:tcW w:w="988"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0</w:t>
            </w:r>
          </w:p>
        </w:tc>
        <w:tc>
          <w:tcPr>
            <w:tcW w:w="1134"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0</w:t>
            </w:r>
          </w:p>
        </w:tc>
      </w:tr>
      <w:tr w:rsidR="009675FA" w:rsidRPr="001B2C9B" w:rsidTr="00B139D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1"/>
            <w:noWrap/>
            <w:hideMark/>
          </w:tcPr>
          <w:p w:rsidR="009675FA" w:rsidRPr="001B2C9B" w:rsidRDefault="009675FA" w:rsidP="00B139DF">
            <w:pPr>
              <w:rPr>
                <w:rFonts w:ascii="Tahoma" w:eastAsia="Times New Roman" w:hAnsi="Tahoma" w:cs="Tahoma"/>
                <w:b w:val="0"/>
                <w:bCs w:val="0"/>
                <w:sz w:val="20"/>
                <w:szCs w:val="20"/>
                <w:lang w:eastAsia="en-ZW"/>
              </w:rPr>
            </w:pPr>
            <w:r w:rsidRPr="001B2C9B">
              <w:rPr>
                <w:rFonts w:ascii="Tahoma" w:eastAsia="Times New Roman" w:hAnsi="Tahoma" w:cs="Tahoma"/>
                <w:b w:val="0"/>
                <w:bCs w:val="0"/>
                <w:sz w:val="20"/>
                <w:szCs w:val="20"/>
                <w:lang w:eastAsia="en-ZW"/>
              </w:rPr>
              <w:t>Expenditure and net lending</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6,573</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7,895</w:t>
            </w:r>
          </w:p>
        </w:tc>
        <w:tc>
          <w:tcPr>
            <w:tcW w:w="988"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7,765</w:t>
            </w:r>
          </w:p>
        </w:tc>
        <w:tc>
          <w:tcPr>
            <w:tcW w:w="1134"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12,271</w:t>
            </w:r>
          </w:p>
        </w:tc>
      </w:tr>
      <w:tr w:rsidR="009675FA" w:rsidRPr="001B2C9B" w:rsidTr="00B139DF">
        <w:trPr>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2DBDB" w:themeFill="accent2" w:themeFillTint="33"/>
            <w:noWrap/>
            <w:hideMark/>
          </w:tcPr>
          <w:p w:rsidR="009675FA" w:rsidRPr="001B2C9B" w:rsidRDefault="009675FA" w:rsidP="00B139DF">
            <w:pPr>
              <w:ind w:firstLineChars="100" w:firstLine="200"/>
              <w:rPr>
                <w:rFonts w:ascii="Tahoma" w:eastAsia="Times New Roman" w:hAnsi="Tahoma" w:cs="Tahoma"/>
                <w:b w:val="0"/>
                <w:bCs w:val="0"/>
                <w:sz w:val="20"/>
                <w:szCs w:val="20"/>
                <w:lang w:eastAsia="en-ZW"/>
              </w:rPr>
            </w:pPr>
            <w:r w:rsidRPr="001B2C9B">
              <w:rPr>
                <w:rFonts w:ascii="Tahoma" w:eastAsia="Times New Roman" w:hAnsi="Tahoma" w:cs="Tahoma"/>
                <w:b w:val="0"/>
                <w:bCs w:val="0"/>
                <w:sz w:val="20"/>
                <w:szCs w:val="20"/>
                <w:lang w:eastAsia="en-ZW"/>
              </w:rPr>
              <w:t>Current expenditure</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4,831</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5,220</w:t>
            </w:r>
          </w:p>
        </w:tc>
        <w:tc>
          <w:tcPr>
            <w:tcW w:w="988"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5,728</w:t>
            </w:r>
          </w:p>
        </w:tc>
        <w:tc>
          <w:tcPr>
            <w:tcW w:w="1134"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8,073</w:t>
            </w:r>
          </w:p>
        </w:tc>
      </w:tr>
      <w:tr w:rsidR="009675FA" w:rsidRPr="001B2C9B" w:rsidTr="00B139D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1"/>
            <w:noWrap/>
            <w:hideMark/>
          </w:tcPr>
          <w:p w:rsidR="009675FA" w:rsidRPr="001B2C9B" w:rsidRDefault="009675FA" w:rsidP="00B139DF">
            <w:pPr>
              <w:ind w:firstLineChars="200" w:firstLine="400"/>
              <w:rPr>
                <w:rFonts w:ascii="Tahoma" w:eastAsia="Times New Roman" w:hAnsi="Tahoma" w:cs="Tahoma"/>
                <w:b w:val="0"/>
                <w:sz w:val="20"/>
                <w:szCs w:val="20"/>
                <w:lang w:eastAsia="en-ZW"/>
              </w:rPr>
            </w:pPr>
            <w:r w:rsidRPr="001B2C9B">
              <w:rPr>
                <w:rFonts w:ascii="Tahoma" w:eastAsia="Times New Roman" w:hAnsi="Tahoma" w:cs="Tahoma"/>
                <w:b w:val="0"/>
                <w:sz w:val="20"/>
                <w:szCs w:val="20"/>
                <w:lang w:eastAsia="en-ZW"/>
              </w:rPr>
              <w:t>Employment costs</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3,495</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3,935</w:t>
            </w:r>
          </w:p>
        </w:tc>
        <w:tc>
          <w:tcPr>
            <w:tcW w:w="988"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4,050</w:t>
            </w:r>
          </w:p>
        </w:tc>
        <w:tc>
          <w:tcPr>
            <w:tcW w:w="1134"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4,646</w:t>
            </w:r>
          </w:p>
        </w:tc>
      </w:tr>
      <w:tr w:rsidR="009675FA" w:rsidRPr="001B2C9B" w:rsidTr="00B139DF">
        <w:trPr>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2DBDB" w:themeFill="accent2" w:themeFillTint="33"/>
            <w:noWrap/>
            <w:hideMark/>
          </w:tcPr>
          <w:p w:rsidR="009675FA" w:rsidRPr="001B2C9B" w:rsidRDefault="009675FA" w:rsidP="00B139DF">
            <w:pPr>
              <w:ind w:left="608"/>
              <w:rPr>
                <w:rFonts w:ascii="Tahoma" w:eastAsia="Times New Roman" w:hAnsi="Tahoma" w:cs="Tahoma"/>
                <w:b w:val="0"/>
                <w:sz w:val="20"/>
                <w:szCs w:val="20"/>
                <w:lang w:eastAsia="en-ZW"/>
              </w:rPr>
            </w:pPr>
            <w:r w:rsidRPr="001B2C9B">
              <w:rPr>
                <w:rFonts w:ascii="Tahoma" w:eastAsia="Times New Roman" w:hAnsi="Tahoma" w:cs="Tahoma"/>
                <w:b w:val="0"/>
                <w:sz w:val="20"/>
                <w:szCs w:val="20"/>
                <w:lang w:eastAsia="en-ZW"/>
              </w:rPr>
              <w:t>Wages &amp; salaries (incl. grants &amp; transfers)</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2,978</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3,382</w:t>
            </w:r>
          </w:p>
        </w:tc>
        <w:tc>
          <w:tcPr>
            <w:tcW w:w="988"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3,456</w:t>
            </w:r>
          </w:p>
        </w:tc>
        <w:tc>
          <w:tcPr>
            <w:tcW w:w="1134"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4,042</w:t>
            </w:r>
          </w:p>
        </w:tc>
      </w:tr>
      <w:tr w:rsidR="009675FA" w:rsidRPr="001B2C9B" w:rsidTr="00B139D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1"/>
            <w:noWrap/>
            <w:hideMark/>
          </w:tcPr>
          <w:p w:rsidR="009675FA" w:rsidRPr="001B2C9B" w:rsidRDefault="009675FA" w:rsidP="00B139DF">
            <w:pPr>
              <w:ind w:firstLineChars="300" w:firstLine="600"/>
              <w:rPr>
                <w:rFonts w:ascii="Tahoma" w:eastAsia="Times New Roman" w:hAnsi="Tahoma" w:cs="Tahoma"/>
                <w:b w:val="0"/>
                <w:sz w:val="20"/>
                <w:szCs w:val="20"/>
                <w:lang w:eastAsia="en-ZW"/>
              </w:rPr>
            </w:pPr>
            <w:r w:rsidRPr="001B2C9B">
              <w:rPr>
                <w:rFonts w:ascii="Tahoma" w:eastAsia="Times New Roman" w:hAnsi="Tahoma" w:cs="Tahoma"/>
                <w:b w:val="0"/>
                <w:sz w:val="20"/>
                <w:szCs w:val="20"/>
                <w:lang w:eastAsia="en-ZW"/>
              </w:rPr>
              <w:t>Pensions</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517</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553</w:t>
            </w:r>
          </w:p>
        </w:tc>
        <w:tc>
          <w:tcPr>
            <w:tcW w:w="988"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594</w:t>
            </w:r>
          </w:p>
        </w:tc>
        <w:tc>
          <w:tcPr>
            <w:tcW w:w="1134"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604</w:t>
            </w:r>
          </w:p>
        </w:tc>
      </w:tr>
      <w:tr w:rsidR="009675FA" w:rsidRPr="001B2C9B" w:rsidTr="00B139DF">
        <w:trPr>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2DBDB" w:themeFill="accent2" w:themeFillTint="33"/>
            <w:noWrap/>
            <w:hideMark/>
          </w:tcPr>
          <w:p w:rsidR="009675FA" w:rsidRPr="001B2C9B" w:rsidRDefault="009675FA" w:rsidP="00B139DF">
            <w:pPr>
              <w:ind w:firstLineChars="200" w:firstLine="400"/>
              <w:rPr>
                <w:rFonts w:ascii="Tahoma" w:eastAsia="Times New Roman" w:hAnsi="Tahoma" w:cs="Tahoma"/>
                <w:sz w:val="20"/>
                <w:szCs w:val="20"/>
                <w:lang w:eastAsia="en-ZW"/>
              </w:rPr>
            </w:pPr>
            <w:r w:rsidRPr="001B2C9B">
              <w:rPr>
                <w:rFonts w:ascii="Tahoma" w:eastAsia="Times New Roman" w:hAnsi="Tahoma" w:cs="Tahoma"/>
                <w:sz w:val="20"/>
                <w:szCs w:val="20"/>
                <w:lang w:eastAsia="en-ZW"/>
              </w:rPr>
              <w:t xml:space="preserve">Interest payments </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233</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368</w:t>
            </w:r>
          </w:p>
        </w:tc>
        <w:tc>
          <w:tcPr>
            <w:tcW w:w="988"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351</w:t>
            </w:r>
          </w:p>
        </w:tc>
        <w:tc>
          <w:tcPr>
            <w:tcW w:w="1134"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899</w:t>
            </w:r>
          </w:p>
        </w:tc>
      </w:tr>
      <w:tr w:rsidR="009675FA" w:rsidRPr="001B2C9B" w:rsidTr="00B139D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1"/>
            <w:noWrap/>
            <w:hideMark/>
          </w:tcPr>
          <w:p w:rsidR="009675FA" w:rsidRPr="001B2C9B" w:rsidRDefault="009675FA" w:rsidP="00B139DF">
            <w:pPr>
              <w:ind w:firstLineChars="300" w:firstLine="600"/>
              <w:rPr>
                <w:rFonts w:ascii="Tahoma" w:eastAsia="Times New Roman" w:hAnsi="Tahoma" w:cs="Tahoma"/>
                <w:sz w:val="20"/>
                <w:szCs w:val="20"/>
                <w:lang w:eastAsia="en-ZW"/>
              </w:rPr>
            </w:pPr>
            <w:r w:rsidRPr="001B2C9B">
              <w:rPr>
                <w:rFonts w:ascii="Tahoma" w:eastAsia="Times New Roman" w:hAnsi="Tahoma" w:cs="Tahoma"/>
                <w:sz w:val="20"/>
                <w:szCs w:val="20"/>
                <w:lang w:eastAsia="en-ZW"/>
              </w:rPr>
              <w:t>Foreign</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68</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43</w:t>
            </w:r>
          </w:p>
        </w:tc>
        <w:tc>
          <w:tcPr>
            <w:tcW w:w="988"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24</w:t>
            </w:r>
          </w:p>
        </w:tc>
        <w:tc>
          <w:tcPr>
            <w:tcW w:w="1134"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176</w:t>
            </w:r>
          </w:p>
        </w:tc>
      </w:tr>
      <w:tr w:rsidR="009675FA" w:rsidRPr="001B2C9B" w:rsidTr="00B139DF">
        <w:trPr>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2DBDB" w:themeFill="accent2" w:themeFillTint="33"/>
            <w:noWrap/>
            <w:hideMark/>
          </w:tcPr>
          <w:p w:rsidR="009675FA" w:rsidRPr="001B2C9B" w:rsidRDefault="009675FA" w:rsidP="00B139DF">
            <w:pPr>
              <w:ind w:firstLineChars="400" w:firstLine="800"/>
              <w:rPr>
                <w:rFonts w:ascii="Tahoma" w:eastAsia="Times New Roman" w:hAnsi="Tahoma" w:cs="Tahoma"/>
                <w:i/>
                <w:iCs/>
                <w:sz w:val="20"/>
                <w:szCs w:val="20"/>
                <w:lang w:eastAsia="en-ZW"/>
              </w:rPr>
            </w:pPr>
            <w:r w:rsidRPr="001B2C9B">
              <w:rPr>
                <w:rFonts w:ascii="Tahoma" w:eastAsia="Times New Roman" w:hAnsi="Tahoma" w:cs="Tahoma"/>
                <w:i/>
                <w:iCs/>
                <w:sz w:val="20"/>
                <w:szCs w:val="20"/>
                <w:lang w:eastAsia="en-ZW"/>
              </w:rPr>
              <w:t xml:space="preserve">Of which: </w:t>
            </w:r>
            <w:r w:rsidRPr="001B2C9B">
              <w:rPr>
                <w:rFonts w:ascii="Tahoma" w:eastAsia="Times New Roman" w:hAnsi="Tahoma" w:cs="Tahoma"/>
                <w:sz w:val="20"/>
                <w:szCs w:val="20"/>
                <w:lang w:eastAsia="en-ZW"/>
              </w:rPr>
              <w:t>Paid</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68</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6</w:t>
            </w:r>
          </w:p>
        </w:tc>
        <w:tc>
          <w:tcPr>
            <w:tcW w:w="988"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24</w:t>
            </w:r>
          </w:p>
        </w:tc>
        <w:tc>
          <w:tcPr>
            <w:tcW w:w="1134"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106</w:t>
            </w:r>
          </w:p>
        </w:tc>
      </w:tr>
      <w:tr w:rsidR="009675FA" w:rsidRPr="001B2C9B" w:rsidTr="00B139D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1"/>
            <w:noWrap/>
            <w:hideMark/>
          </w:tcPr>
          <w:p w:rsidR="009675FA" w:rsidRPr="001B2C9B" w:rsidRDefault="009675FA" w:rsidP="00B139DF">
            <w:pPr>
              <w:ind w:firstLineChars="300" w:firstLine="600"/>
              <w:rPr>
                <w:rFonts w:ascii="Tahoma" w:eastAsia="Times New Roman" w:hAnsi="Tahoma" w:cs="Tahoma"/>
                <w:sz w:val="20"/>
                <w:szCs w:val="20"/>
                <w:lang w:eastAsia="en-ZW"/>
              </w:rPr>
            </w:pPr>
            <w:r w:rsidRPr="001B2C9B">
              <w:rPr>
                <w:rFonts w:ascii="Tahoma" w:eastAsia="Times New Roman" w:hAnsi="Tahoma" w:cs="Tahoma"/>
                <w:sz w:val="20"/>
                <w:szCs w:val="20"/>
                <w:lang w:eastAsia="en-ZW"/>
              </w:rPr>
              <w:t>Domestic</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165</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325</w:t>
            </w:r>
          </w:p>
        </w:tc>
        <w:tc>
          <w:tcPr>
            <w:tcW w:w="988"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327</w:t>
            </w:r>
          </w:p>
        </w:tc>
        <w:tc>
          <w:tcPr>
            <w:tcW w:w="1134"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723</w:t>
            </w:r>
          </w:p>
        </w:tc>
      </w:tr>
      <w:tr w:rsidR="009675FA" w:rsidRPr="001B2C9B" w:rsidTr="00B139DF">
        <w:trPr>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2DBDB" w:themeFill="accent2" w:themeFillTint="33"/>
            <w:noWrap/>
            <w:hideMark/>
          </w:tcPr>
          <w:p w:rsidR="009675FA" w:rsidRPr="001B2C9B" w:rsidRDefault="009675FA" w:rsidP="00B139DF">
            <w:pPr>
              <w:ind w:firstLineChars="200" w:firstLine="400"/>
              <w:rPr>
                <w:rFonts w:ascii="Tahoma" w:eastAsia="Times New Roman" w:hAnsi="Tahoma" w:cs="Tahoma"/>
                <w:sz w:val="20"/>
                <w:szCs w:val="20"/>
                <w:lang w:eastAsia="en-ZW"/>
              </w:rPr>
            </w:pPr>
            <w:r w:rsidRPr="001B2C9B">
              <w:rPr>
                <w:rFonts w:ascii="Tahoma" w:eastAsia="Times New Roman" w:hAnsi="Tahoma" w:cs="Tahoma"/>
                <w:sz w:val="20"/>
                <w:szCs w:val="20"/>
                <w:lang w:eastAsia="en-ZW"/>
              </w:rPr>
              <w:t>Goods &amp; services</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887</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703</w:t>
            </w:r>
          </w:p>
        </w:tc>
        <w:tc>
          <w:tcPr>
            <w:tcW w:w="988"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719</w:t>
            </w:r>
          </w:p>
        </w:tc>
        <w:tc>
          <w:tcPr>
            <w:tcW w:w="1134"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1,771</w:t>
            </w:r>
          </w:p>
        </w:tc>
      </w:tr>
      <w:tr w:rsidR="009675FA" w:rsidRPr="001B2C9B" w:rsidTr="00B139D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1"/>
            <w:noWrap/>
            <w:hideMark/>
          </w:tcPr>
          <w:p w:rsidR="009675FA" w:rsidRPr="001B2C9B" w:rsidRDefault="009675FA" w:rsidP="00B139DF">
            <w:pPr>
              <w:ind w:firstLineChars="200" w:firstLine="400"/>
              <w:rPr>
                <w:rFonts w:ascii="Tahoma" w:eastAsia="Times New Roman" w:hAnsi="Tahoma" w:cs="Tahoma"/>
                <w:sz w:val="20"/>
                <w:szCs w:val="20"/>
                <w:lang w:eastAsia="en-ZW"/>
              </w:rPr>
            </w:pPr>
            <w:r w:rsidRPr="001B2C9B">
              <w:rPr>
                <w:rFonts w:ascii="Tahoma" w:eastAsia="Times New Roman" w:hAnsi="Tahoma" w:cs="Tahoma"/>
                <w:sz w:val="20"/>
                <w:szCs w:val="20"/>
                <w:lang w:eastAsia="en-ZW"/>
              </w:rPr>
              <w:t>Current transfers</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216</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214</w:t>
            </w:r>
          </w:p>
        </w:tc>
        <w:tc>
          <w:tcPr>
            <w:tcW w:w="988"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608</w:t>
            </w:r>
          </w:p>
        </w:tc>
        <w:tc>
          <w:tcPr>
            <w:tcW w:w="1134"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756</w:t>
            </w:r>
          </w:p>
        </w:tc>
      </w:tr>
      <w:tr w:rsidR="009675FA" w:rsidRPr="001B2C9B" w:rsidTr="00B139DF">
        <w:trPr>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2DBDB" w:themeFill="accent2" w:themeFillTint="33"/>
            <w:noWrap/>
            <w:hideMark/>
          </w:tcPr>
          <w:p w:rsidR="009675FA" w:rsidRPr="001B2C9B" w:rsidRDefault="009675FA" w:rsidP="00B139DF">
            <w:pPr>
              <w:ind w:firstLineChars="100" w:firstLine="200"/>
              <w:rPr>
                <w:rFonts w:ascii="Tahoma" w:eastAsia="Times New Roman" w:hAnsi="Tahoma" w:cs="Tahoma"/>
                <w:b w:val="0"/>
                <w:bCs w:val="0"/>
                <w:sz w:val="20"/>
                <w:szCs w:val="20"/>
                <w:lang w:eastAsia="en-ZW"/>
              </w:rPr>
            </w:pPr>
            <w:r w:rsidRPr="001B2C9B">
              <w:rPr>
                <w:rFonts w:ascii="Tahoma" w:eastAsia="Times New Roman" w:hAnsi="Tahoma" w:cs="Tahoma"/>
                <w:b w:val="0"/>
                <w:bCs w:val="0"/>
                <w:sz w:val="20"/>
                <w:szCs w:val="20"/>
                <w:lang w:eastAsia="en-ZW"/>
              </w:rPr>
              <w:t>Capital expenditure and net lending</w:t>
            </w:r>
            <w:r w:rsidRPr="001B2C9B">
              <w:rPr>
                <w:rFonts w:ascii="Tahoma" w:eastAsia="Times New Roman" w:hAnsi="Tahoma" w:cs="Tahoma"/>
                <w:b w:val="0"/>
                <w:bCs w:val="0"/>
                <w:sz w:val="20"/>
                <w:szCs w:val="20"/>
                <w:vertAlign w:val="superscript"/>
                <w:lang w:eastAsia="en-ZW"/>
              </w:rPr>
              <w:t xml:space="preserve"> </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1,742</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2,675</w:t>
            </w:r>
          </w:p>
        </w:tc>
        <w:tc>
          <w:tcPr>
            <w:tcW w:w="988"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2,037</w:t>
            </w:r>
          </w:p>
        </w:tc>
        <w:tc>
          <w:tcPr>
            <w:tcW w:w="1134"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4,198</w:t>
            </w:r>
          </w:p>
        </w:tc>
      </w:tr>
      <w:tr w:rsidR="009675FA" w:rsidRPr="001B2C9B" w:rsidTr="00B139D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1"/>
            <w:noWrap/>
            <w:hideMark/>
          </w:tcPr>
          <w:p w:rsidR="009675FA" w:rsidRPr="001B2C9B" w:rsidRDefault="009675FA" w:rsidP="00B139DF">
            <w:pPr>
              <w:ind w:firstLineChars="200" w:firstLine="400"/>
              <w:rPr>
                <w:rFonts w:ascii="Tahoma" w:eastAsia="Times New Roman" w:hAnsi="Tahoma" w:cs="Tahoma"/>
                <w:b w:val="0"/>
                <w:sz w:val="20"/>
                <w:szCs w:val="20"/>
                <w:lang w:eastAsia="en-ZW"/>
              </w:rPr>
            </w:pPr>
            <w:r w:rsidRPr="001B2C9B">
              <w:rPr>
                <w:rFonts w:ascii="Tahoma" w:eastAsia="Times New Roman" w:hAnsi="Tahoma" w:cs="Tahoma"/>
                <w:b w:val="0"/>
                <w:sz w:val="20"/>
                <w:szCs w:val="20"/>
                <w:lang w:eastAsia="en-ZW"/>
              </w:rPr>
              <w:t xml:space="preserve">Capital transfers </w:t>
            </w:r>
            <w:r w:rsidRPr="001B2C9B">
              <w:rPr>
                <w:rFonts w:ascii="Tahoma" w:eastAsia="Times New Roman" w:hAnsi="Tahoma" w:cs="Tahoma"/>
                <w:b w:val="0"/>
                <w:sz w:val="20"/>
                <w:szCs w:val="20"/>
                <w:vertAlign w:val="superscript"/>
                <w:lang w:eastAsia="en-ZW"/>
              </w:rPr>
              <w:t>1/</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1,193</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1,735</w:t>
            </w:r>
          </w:p>
        </w:tc>
        <w:tc>
          <w:tcPr>
            <w:tcW w:w="988"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1,007</w:t>
            </w:r>
          </w:p>
        </w:tc>
        <w:tc>
          <w:tcPr>
            <w:tcW w:w="1134"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1,937</w:t>
            </w:r>
          </w:p>
        </w:tc>
      </w:tr>
      <w:tr w:rsidR="009675FA" w:rsidRPr="001B2C9B" w:rsidTr="00B139DF">
        <w:trPr>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2DBDB" w:themeFill="accent2" w:themeFillTint="33"/>
            <w:noWrap/>
            <w:hideMark/>
          </w:tcPr>
          <w:p w:rsidR="009675FA" w:rsidRPr="001B2C9B" w:rsidRDefault="009675FA" w:rsidP="00B139DF">
            <w:pPr>
              <w:ind w:firstLineChars="200" w:firstLine="400"/>
              <w:rPr>
                <w:rFonts w:ascii="Tahoma" w:eastAsia="Times New Roman" w:hAnsi="Tahoma" w:cs="Tahoma"/>
                <w:b w:val="0"/>
                <w:sz w:val="20"/>
                <w:szCs w:val="20"/>
                <w:lang w:eastAsia="en-ZW"/>
              </w:rPr>
            </w:pPr>
            <w:r w:rsidRPr="001B2C9B">
              <w:rPr>
                <w:rFonts w:ascii="Tahoma" w:eastAsia="Times New Roman" w:hAnsi="Tahoma" w:cs="Tahoma"/>
                <w:b w:val="0"/>
                <w:sz w:val="20"/>
                <w:szCs w:val="20"/>
                <w:lang w:eastAsia="en-ZW"/>
              </w:rPr>
              <w:t>Other capital expenditure</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145</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542</w:t>
            </w:r>
          </w:p>
        </w:tc>
        <w:tc>
          <w:tcPr>
            <w:tcW w:w="988"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862</w:t>
            </w:r>
          </w:p>
        </w:tc>
        <w:tc>
          <w:tcPr>
            <w:tcW w:w="1134"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2,093</w:t>
            </w:r>
          </w:p>
        </w:tc>
      </w:tr>
      <w:tr w:rsidR="009675FA" w:rsidRPr="001B2C9B" w:rsidTr="00B139D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1"/>
            <w:noWrap/>
            <w:hideMark/>
          </w:tcPr>
          <w:p w:rsidR="009675FA" w:rsidRPr="001B2C9B" w:rsidRDefault="009675FA" w:rsidP="00B139DF">
            <w:pPr>
              <w:ind w:firstLineChars="200" w:firstLine="400"/>
              <w:rPr>
                <w:rFonts w:ascii="Tahoma" w:eastAsia="Times New Roman" w:hAnsi="Tahoma" w:cs="Tahoma"/>
                <w:b w:val="0"/>
                <w:sz w:val="20"/>
                <w:szCs w:val="20"/>
                <w:lang w:eastAsia="en-ZW"/>
              </w:rPr>
            </w:pPr>
            <w:r w:rsidRPr="001B2C9B">
              <w:rPr>
                <w:rFonts w:ascii="Tahoma" w:eastAsia="Times New Roman" w:hAnsi="Tahoma" w:cs="Tahoma"/>
                <w:b w:val="0"/>
                <w:sz w:val="20"/>
                <w:szCs w:val="20"/>
                <w:lang w:eastAsia="en-ZW"/>
              </w:rPr>
              <w:t>Net lending</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404</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398</w:t>
            </w:r>
          </w:p>
        </w:tc>
        <w:tc>
          <w:tcPr>
            <w:tcW w:w="988"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168</w:t>
            </w:r>
          </w:p>
        </w:tc>
        <w:tc>
          <w:tcPr>
            <w:tcW w:w="1134"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168</w:t>
            </w:r>
          </w:p>
        </w:tc>
      </w:tr>
      <w:tr w:rsidR="009675FA" w:rsidRPr="001B2C9B" w:rsidTr="00B139DF">
        <w:trPr>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2DBDB" w:themeFill="accent2" w:themeFillTint="33"/>
            <w:noWrap/>
            <w:hideMark/>
          </w:tcPr>
          <w:p w:rsidR="009675FA" w:rsidRPr="001B2C9B" w:rsidRDefault="009675FA" w:rsidP="00B139DF">
            <w:pPr>
              <w:ind w:firstLineChars="300" w:firstLine="600"/>
              <w:rPr>
                <w:rFonts w:ascii="Tahoma" w:eastAsia="Times New Roman" w:hAnsi="Tahoma" w:cs="Tahoma"/>
                <w:b w:val="0"/>
                <w:i/>
                <w:iCs/>
                <w:sz w:val="20"/>
                <w:szCs w:val="20"/>
                <w:lang w:eastAsia="en-ZW"/>
              </w:rPr>
            </w:pPr>
            <w:r w:rsidRPr="001B2C9B">
              <w:rPr>
                <w:rFonts w:ascii="Tahoma" w:eastAsia="Times New Roman" w:hAnsi="Tahoma" w:cs="Tahoma"/>
                <w:b w:val="0"/>
                <w:i/>
                <w:iCs/>
                <w:sz w:val="20"/>
                <w:szCs w:val="20"/>
                <w:lang w:eastAsia="en-ZW"/>
              </w:rPr>
              <w:t>as % of GDP</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 </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 </w:t>
            </w:r>
          </w:p>
        </w:tc>
        <w:tc>
          <w:tcPr>
            <w:tcW w:w="988"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 </w:t>
            </w:r>
          </w:p>
        </w:tc>
        <w:tc>
          <w:tcPr>
            <w:tcW w:w="1134"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 </w:t>
            </w:r>
          </w:p>
        </w:tc>
      </w:tr>
      <w:tr w:rsidR="009675FA" w:rsidRPr="001B2C9B" w:rsidTr="00B139D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1"/>
            <w:noWrap/>
            <w:hideMark/>
          </w:tcPr>
          <w:p w:rsidR="009675FA" w:rsidRPr="001B2C9B" w:rsidRDefault="009675FA" w:rsidP="00B139DF">
            <w:pPr>
              <w:rPr>
                <w:rFonts w:ascii="Tahoma" w:eastAsia="Times New Roman" w:hAnsi="Tahoma" w:cs="Tahoma"/>
                <w:b w:val="0"/>
                <w:bCs w:val="0"/>
                <w:sz w:val="20"/>
                <w:szCs w:val="20"/>
                <w:lang w:eastAsia="en-ZW"/>
              </w:rPr>
            </w:pPr>
            <w:r w:rsidRPr="001B2C9B">
              <w:rPr>
                <w:rFonts w:ascii="Tahoma" w:eastAsia="Times New Roman" w:hAnsi="Tahoma" w:cs="Tahoma"/>
                <w:b w:val="0"/>
                <w:bCs w:val="0"/>
                <w:sz w:val="20"/>
                <w:szCs w:val="20"/>
                <w:lang w:eastAsia="en-ZW"/>
              </w:rPr>
              <w:t>Overall balance (commitment basis)</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-2,703</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-2,403</w:t>
            </w:r>
          </w:p>
        </w:tc>
        <w:tc>
          <w:tcPr>
            <w:tcW w:w="988"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-1,566</w:t>
            </w:r>
          </w:p>
        </w:tc>
        <w:tc>
          <w:tcPr>
            <w:tcW w:w="1134"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-2,904</w:t>
            </w:r>
          </w:p>
        </w:tc>
      </w:tr>
      <w:tr w:rsidR="009675FA" w:rsidRPr="001B2C9B" w:rsidTr="00B139DF">
        <w:trPr>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2DBDB" w:themeFill="accent2" w:themeFillTint="33"/>
            <w:noWrap/>
            <w:hideMark/>
          </w:tcPr>
          <w:p w:rsidR="009675FA" w:rsidRPr="001B2C9B" w:rsidRDefault="009675FA" w:rsidP="00B139DF">
            <w:pPr>
              <w:ind w:firstLineChars="100" w:firstLine="200"/>
              <w:rPr>
                <w:rFonts w:ascii="Tahoma" w:eastAsia="Times New Roman" w:hAnsi="Tahoma" w:cs="Tahoma"/>
                <w:sz w:val="20"/>
                <w:szCs w:val="20"/>
                <w:lang w:eastAsia="en-ZW"/>
              </w:rPr>
            </w:pPr>
            <w:r w:rsidRPr="001B2C9B">
              <w:rPr>
                <w:rFonts w:ascii="Tahoma" w:eastAsia="Times New Roman" w:hAnsi="Tahoma" w:cs="Tahoma"/>
                <w:sz w:val="20"/>
                <w:szCs w:val="20"/>
                <w:lang w:eastAsia="en-ZW"/>
              </w:rPr>
              <w:t xml:space="preserve">Primary balance (commitment basis) </w:t>
            </w:r>
            <w:r w:rsidRPr="001B2C9B">
              <w:rPr>
                <w:rFonts w:ascii="Tahoma" w:eastAsia="Times New Roman" w:hAnsi="Tahoma" w:cs="Tahoma"/>
                <w:sz w:val="20"/>
                <w:szCs w:val="20"/>
                <w:vertAlign w:val="superscript"/>
                <w:lang w:eastAsia="en-ZW"/>
              </w:rPr>
              <w:t>2/</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-2,471</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-2,035</w:t>
            </w:r>
          </w:p>
        </w:tc>
        <w:tc>
          <w:tcPr>
            <w:tcW w:w="988"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-1,215</w:t>
            </w:r>
          </w:p>
        </w:tc>
        <w:tc>
          <w:tcPr>
            <w:tcW w:w="1134"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-2,005</w:t>
            </w:r>
          </w:p>
        </w:tc>
      </w:tr>
      <w:tr w:rsidR="009675FA" w:rsidRPr="001B2C9B" w:rsidTr="00B139DF">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FFFFF" w:themeFill="background1"/>
            <w:noWrap/>
            <w:hideMark/>
          </w:tcPr>
          <w:p w:rsidR="009675FA" w:rsidRPr="001B2C9B" w:rsidRDefault="009675FA" w:rsidP="00B139DF">
            <w:pPr>
              <w:rPr>
                <w:rFonts w:ascii="Tahoma" w:eastAsia="Times New Roman" w:hAnsi="Tahoma" w:cs="Tahoma"/>
                <w:b w:val="0"/>
                <w:bCs w:val="0"/>
                <w:sz w:val="20"/>
                <w:szCs w:val="20"/>
                <w:lang w:eastAsia="en-ZW"/>
              </w:rPr>
            </w:pPr>
            <w:r w:rsidRPr="001B2C9B">
              <w:rPr>
                <w:rFonts w:ascii="Tahoma" w:eastAsia="Times New Roman" w:hAnsi="Tahoma" w:cs="Tahoma"/>
                <w:b w:val="0"/>
                <w:bCs w:val="0"/>
                <w:sz w:val="20"/>
                <w:szCs w:val="20"/>
                <w:lang w:eastAsia="en-ZW"/>
              </w:rPr>
              <w:t>Overall balance (cash basis)</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-2,703</w:t>
            </w:r>
          </w:p>
        </w:tc>
        <w:tc>
          <w:tcPr>
            <w:tcW w:w="992"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-2,366</w:t>
            </w:r>
          </w:p>
        </w:tc>
        <w:tc>
          <w:tcPr>
            <w:tcW w:w="988"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-1,566</w:t>
            </w:r>
          </w:p>
        </w:tc>
        <w:tc>
          <w:tcPr>
            <w:tcW w:w="1134" w:type="dxa"/>
            <w:shd w:val="clear" w:color="auto" w:fill="FFFFFF" w:themeFill="background1"/>
            <w:noWrap/>
            <w:hideMark/>
          </w:tcPr>
          <w:p w:rsidR="009675FA" w:rsidRPr="001B2C9B" w:rsidRDefault="009675FA" w:rsidP="00B139DF">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lang w:eastAsia="en-ZW"/>
              </w:rPr>
            </w:pPr>
            <w:r w:rsidRPr="001B2C9B">
              <w:rPr>
                <w:rFonts w:ascii="Tahoma" w:eastAsia="Times New Roman" w:hAnsi="Tahoma" w:cs="Tahoma"/>
                <w:b/>
                <w:bCs/>
                <w:sz w:val="20"/>
                <w:szCs w:val="20"/>
                <w:lang w:eastAsia="en-ZW"/>
              </w:rPr>
              <w:t>-2,834</w:t>
            </w:r>
          </w:p>
        </w:tc>
      </w:tr>
      <w:tr w:rsidR="009675FA" w:rsidRPr="001B2C9B" w:rsidTr="00B139DF">
        <w:trPr>
          <w:trHeight w:val="113"/>
        </w:trPr>
        <w:tc>
          <w:tcPr>
            <w:cnfStyle w:val="001000000000" w:firstRow="0" w:lastRow="0" w:firstColumn="1" w:lastColumn="0" w:oddVBand="0" w:evenVBand="0" w:oddHBand="0" w:evenHBand="0" w:firstRowFirstColumn="0" w:firstRowLastColumn="0" w:lastRowFirstColumn="0" w:lastRowLastColumn="0"/>
            <w:tcW w:w="4536" w:type="dxa"/>
            <w:shd w:val="clear" w:color="auto" w:fill="F2DBDB" w:themeFill="accent2" w:themeFillTint="33"/>
            <w:noWrap/>
            <w:hideMark/>
          </w:tcPr>
          <w:p w:rsidR="009675FA" w:rsidRPr="001B2C9B" w:rsidRDefault="009675FA" w:rsidP="00B139DF">
            <w:pPr>
              <w:ind w:firstLineChars="100" w:firstLine="200"/>
              <w:rPr>
                <w:rFonts w:ascii="Tahoma" w:eastAsia="Times New Roman" w:hAnsi="Tahoma" w:cs="Tahoma"/>
                <w:sz w:val="20"/>
                <w:szCs w:val="20"/>
                <w:lang w:eastAsia="en-ZW"/>
              </w:rPr>
            </w:pPr>
            <w:r w:rsidRPr="001B2C9B">
              <w:rPr>
                <w:rFonts w:ascii="Tahoma" w:eastAsia="Times New Roman" w:hAnsi="Tahoma" w:cs="Tahoma"/>
                <w:sz w:val="20"/>
                <w:szCs w:val="20"/>
                <w:lang w:eastAsia="en-ZW"/>
              </w:rPr>
              <w:lastRenderedPageBreak/>
              <w:t>Primary balance (cash basis)</w:t>
            </w:r>
            <w:r w:rsidRPr="001B2C9B">
              <w:rPr>
                <w:rFonts w:ascii="Tahoma" w:eastAsia="Times New Roman" w:hAnsi="Tahoma" w:cs="Tahoma"/>
                <w:sz w:val="20"/>
                <w:szCs w:val="20"/>
                <w:vertAlign w:val="superscript"/>
                <w:lang w:eastAsia="en-ZW"/>
              </w:rPr>
              <w:t xml:space="preserve"> 2/</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-2,471</w:t>
            </w:r>
          </w:p>
        </w:tc>
        <w:tc>
          <w:tcPr>
            <w:tcW w:w="992"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-1,999</w:t>
            </w:r>
          </w:p>
        </w:tc>
        <w:tc>
          <w:tcPr>
            <w:tcW w:w="988"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-1,215</w:t>
            </w:r>
          </w:p>
        </w:tc>
        <w:tc>
          <w:tcPr>
            <w:tcW w:w="1134" w:type="dxa"/>
            <w:shd w:val="clear" w:color="auto" w:fill="F2DBDB" w:themeFill="accent2" w:themeFillTint="33"/>
            <w:noWrap/>
            <w:hideMark/>
          </w:tcPr>
          <w:p w:rsidR="009675FA" w:rsidRPr="001B2C9B" w:rsidRDefault="009675FA" w:rsidP="00B139DF">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1B2C9B">
              <w:rPr>
                <w:rFonts w:ascii="Tahoma" w:eastAsia="Times New Roman" w:hAnsi="Tahoma" w:cs="Tahoma"/>
                <w:sz w:val="20"/>
                <w:szCs w:val="20"/>
                <w:lang w:eastAsia="en-ZW"/>
              </w:rPr>
              <w:t>-1,935</w:t>
            </w:r>
          </w:p>
        </w:tc>
      </w:tr>
    </w:tbl>
    <w:p w:rsidR="009675FA" w:rsidRPr="00C24791" w:rsidRDefault="009675FA" w:rsidP="009675FA">
      <w:pPr>
        <w:pStyle w:val="ListParagraph"/>
        <w:spacing w:after="0" w:line="240" w:lineRule="auto"/>
        <w:ind w:left="567"/>
        <w:jc w:val="both"/>
        <w:rPr>
          <w:rFonts w:ascii="Tahoma" w:hAnsi="Tahoma" w:cs="Tahoma"/>
          <w:i/>
          <w:sz w:val="20"/>
          <w:szCs w:val="20"/>
        </w:rPr>
      </w:pPr>
      <w:r w:rsidRPr="00C24791">
        <w:rPr>
          <w:rFonts w:ascii="Tahoma" w:hAnsi="Tahoma" w:cs="Tahoma"/>
          <w:i/>
          <w:sz w:val="20"/>
          <w:szCs w:val="20"/>
        </w:rPr>
        <w:t xml:space="preserve">Source: Ministry of Finance and Economic Development </w:t>
      </w:r>
    </w:p>
    <w:p w:rsidR="009675FA" w:rsidRPr="003A4B15" w:rsidRDefault="009675FA" w:rsidP="009675FA">
      <w:pPr>
        <w:pStyle w:val="ListParagraph"/>
        <w:spacing w:after="0" w:line="360" w:lineRule="auto"/>
        <w:ind w:left="0"/>
        <w:jc w:val="both"/>
        <w:rPr>
          <w:rFonts w:ascii="Tahoma" w:hAnsi="Tahoma" w:cs="Tahoma"/>
          <w:sz w:val="24"/>
          <w:szCs w:val="24"/>
        </w:rPr>
      </w:pPr>
    </w:p>
    <w:p w:rsidR="009675FA" w:rsidRPr="003A4B15" w:rsidRDefault="009675FA" w:rsidP="0072299B">
      <w:pPr>
        <w:pStyle w:val="ListParagraph"/>
        <w:numPr>
          <w:ilvl w:val="0"/>
          <w:numId w:val="1"/>
        </w:numPr>
        <w:spacing w:after="160" w:line="360" w:lineRule="auto"/>
        <w:ind w:left="567" w:hanging="567"/>
        <w:jc w:val="both"/>
        <w:rPr>
          <w:rFonts w:ascii="Tahoma" w:hAnsi="Tahoma" w:cs="Tahoma"/>
          <w:sz w:val="24"/>
          <w:szCs w:val="24"/>
        </w:rPr>
      </w:pPr>
      <w:r w:rsidRPr="003A4B15">
        <w:rPr>
          <w:rFonts w:ascii="Tahoma" w:hAnsi="Tahoma" w:cs="Tahoma"/>
          <w:sz w:val="24"/>
          <w:szCs w:val="24"/>
        </w:rPr>
        <w:t xml:space="preserve">The review of revenues for 2019 takes into account the expected impact of higher levels of inflation and exchange rate developments as well as other macro developments and changing priorities. </w:t>
      </w:r>
    </w:p>
    <w:p w:rsidR="009675FA" w:rsidRPr="003A4B15" w:rsidRDefault="009675FA" w:rsidP="009675FA">
      <w:pPr>
        <w:pStyle w:val="ListParagraph"/>
        <w:spacing w:after="0" w:line="360" w:lineRule="auto"/>
        <w:ind w:left="0"/>
        <w:jc w:val="both"/>
        <w:rPr>
          <w:rFonts w:ascii="Tahoma" w:hAnsi="Tahoma" w:cs="Tahoma"/>
          <w:sz w:val="24"/>
          <w:szCs w:val="24"/>
        </w:rPr>
      </w:pPr>
    </w:p>
    <w:p w:rsidR="009675FA" w:rsidRPr="003A4B15" w:rsidRDefault="009675FA" w:rsidP="0072299B">
      <w:pPr>
        <w:pStyle w:val="ListParagraph"/>
        <w:numPr>
          <w:ilvl w:val="0"/>
          <w:numId w:val="1"/>
        </w:numPr>
        <w:spacing w:after="160" w:line="360" w:lineRule="auto"/>
        <w:ind w:left="567" w:hanging="567"/>
        <w:jc w:val="both"/>
        <w:rPr>
          <w:rFonts w:ascii="Tahoma" w:hAnsi="Tahoma" w:cs="Tahoma"/>
          <w:sz w:val="24"/>
          <w:szCs w:val="24"/>
        </w:rPr>
      </w:pPr>
      <w:r w:rsidRPr="003A4B15">
        <w:rPr>
          <w:rFonts w:ascii="Tahoma" w:hAnsi="Tahoma" w:cs="Tahoma"/>
          <w:sz w:val="24"/>
          <w:szCs w:val="24"/>
        </w:rPr>
        <w:t xml:space="preserve">On the other hand, total expenditures were revised to reflect </w:t>
      </w:r>
      <w:r w:rsidR="009144C5">
        <w:rPr>
          <w:rFonts w:ascii="Tahoma" w:hAnsi="Tahoma" w:cs="Tahoma"/>
          <w:sz w:val="24"/>
          <w:szCs w:val="24"/>
        </w:rPr>
        <w:t>the</w:t>
      </w:r>
      <w:r w:rsidRPr="003A4B15">
        <w:rPr>
          <w:rFonts w:ascii="Tahoma" w:hAnsi="Tahoma" w:cs="Tahoma"/>
          <w:sz w:val="24"/>
          <w:szCs w:val="24"/>
        </w:rPr>
        <w:t xml:space="preserve"> wage and salaries adjustment</w:t>
      </w:r>
      <w:r w:rsidR="009144C5">
        <w:rPr>
          <w:rFonts w:ascii="Tahoma" w:hAnsi="Tahoma" w:cs="Tahoma"/>
          <w:sz w:val="24"/>
          <w:szCs w:val="24"/>
        </w:rPr>
        <w:t xml:space="preserve">s </w:t>
      </w:r>
      <w:r w:rsidR="009144C5" w:rsidRPr="00A266D2">
        <w:rPr>
          <w:rFonts w:ascii="Tahoma" w:hAnsi="Tahoma" w:cs="Tahoma"/>
          <w:sz w:val="24"/>
          <w:szCs w:val="24"/>
        </w:rPr>
        <w:t xml:space="preserve">already processed </w:t>
      </w:r>
      <w:r w:rsidRPr="003A4B15">
        <w:rPr>
          <w:rFonts w:ascii="Tahoma" w:hAnsi="Tahoma" w:cs="Tahoma"/>
          <w:sz w:val="24"/>
          <w:szCs w:val="24"/>
        </w:rPr>
        <w:t xml:space="preserve">for civil servants, cost escalations arising from the projected exchange rate of US$ to RTGS$ on goods and services, operations, infrastructure projects and interest rates. </w:t>
      </w:r>
    </w:p>
    <w:p w:rsidR="009675FA" w:rsidRPr="003559BE" w:rsidRDefault="009675FA" w:rsidP="009675FA">
      <w:pPr>
        <w:pStyle w:val="ListParagraph"/>
        <w:spacing w:after="0" w:line="360" w:lineRule="auto"/>
        <w:ind w:left="0"/>
        <w:jc w:val="both"/>
        <w:rPr>
          <w:rFonts w:ascii="Tahoma" w:hAnsi="Tahoma" w:cs="Tahoma"/>
          <w:sz w:val="24"/>
          <w:szCs w:val="24"/>
        </w:rPr>
      </w:pPr>
    </w:p>
    <w:p w:rsidR="009675FA" w:rsidRDefault="009675FA" w:rsidP="0072299B">
      <w:pPr>
        <w:pStyle w:val="ListParagraph"/>
        <w:numPr>
          <w:ilvl w:val="0"/>
          <w:numId w:val="1"/>
        </w:numPr>
        <w:spacing w:after="160" w:line="360" w:lineRule="auto"/>
        <w:ind w:left="567" w:hanging="567"/>
        <w:jc w:val="both"/>
        <w:rPr>
          <w:rFonts w:ascii="Tahoma" w:hAnsi="Tahoma" w:cs="Tahoma"/>
          <w:sz w:val="24"/>
          <w:szCs w:val="24"/>
        </w:rPr>
      </w:pPr>
      <w:r w:rsidRPr="003A4B15">
        <w:rPr>
          <w:rFonts w:ascii="Tahoma" w:hAnsi="Tahoma" w:cs="Tahoma"/>
          <w:sz w:val="24"/>
          <w:szCs w:val="24"/>
        </w:rPr>
        <w:t>Furthermore, expenditures take cognisance of un-anticipated budgetary costs related to drought and infrastructure restoration and social needs arising from cyclone Idai.</w:t>
      </w:r>
    </w:p>
    <w:p w:rsidR="00BD1E36" w:rsidRPr="00BD1E36" w:rsidRDefault="00BD1E36" w:rsidP="00BD1E36">
      <w:pPr>
        <w:pStyle w:val="ListParagraph"/>
        <w:rPr>
          <w:rFonts w:ascii="Tahoma" w:hAnsi="Tahoma" w:cs="Tahoma"/>
          <w:sz w:val="24"/>
          <w:szCs w:val="24"/>
        </w:rPr>
      </w:pPr>
    </w:p>
    <w:p w:rsidR="00BD1E36" w:rsidRPr="003A4B15" w:rsidRDefault="002D317A" w:rsidP="0072299B">
      <w:pPr>
        <w:pStyle w:val="ListParagraph"/>
        <w:numPr>
          <w:ilvl w:val="0"/>
          <w:numId w:val="1"/>
        </w:numPr>
        <w:spacing w:after="160" w:line="360" w:lineRule="auto"/>
        <w:ind w:left="567" w:hanging="567"/>
        <w:jc w:val="both"/>
        <w:rPr>
          <w:rFonts w:ascii="Tahoma" w:hAnsi="Tahoma" w:cs="Tahoma"/>
          <w:sz w:val="24"/>
          <w:szCs w:val="24"/>
        </w:rPr>
      </w:pPr>
      <w:r w:rsidRPr="008F47F5">
        <w:rPr>
          <w:rFonts w:ascii="Tahoma" w:hAnsi="Tahoma" w:cs="Tahoma"/>
          <w:sz w:val="24"/>
          <w:szCs w:val="24"/>
        </w:rPr>
        <w:t>Detailed Revised 2019 National Budget Estimates will be presented together with the forthcoming 2019 Mid-Term Fiscal Review in July 2019</w:t>
      </w:r>
      <w:r>
        <w:rPr>
          <w:rFonts w:ascii="Tahoma" w:hAnsi="Tahoma" w:cs="Tahoma"/>
          <w:sz w:val="24"/>
          <w:szCs w:val="24"/>
        </w:rPr>
        <w:t>.</w:t>
      </w:r>
      <w:r w:rsidR="00BD1E36">
        <w:rPr>
          <w:rFonts w:ascii="Tahoma" w:hAnsi="Tahoma" w:cs="Tahoma"/>
          <w:sz w:val="24"/>
          <w:szCs w:val="24"/>
        </w:rPr>
        <w:t xml:space="preserve"> </w:t>
      </w:r>
    </w:p>
    <w:p w:rsidR="009675FA" w:rsidRDefault="009675FA" w:rsidP="002D317A">
      <w:pPr>
        <w:pStyle w:val="ListParagraph"/>
        <w:rPr>
          <w:rFonts w:ascii="Tahoma" w:hAnsi="Tahoma" w:cs="Tahoma"/>
          <w:sz w:val="26"/>
          <w:szCs w:val="26"/>
        </w:rPr>
      </w:pPr>
    </w:p>
    <w:p w:rsidR="00695727" w:rsidRPr="00CD2B56" w:rsidRDefault="00695727" w:rsidP="00695727">
      <w:pPr>
        <w:pStyle w:val="Heading1"/>
        <w:rPr>
          <w:rFonts w:ascii="Tahoma" w:hAnsi="Tahoma" w:cs="Tahoma"/>
          <w:b/>
          <w:color w:val="auto"/>
          <w:sz w:val="24"/>
          <w:szCs w:val="24"/>
        </w:rPr>
      </w:pPr>
      <w:bookmarkStart w:id="1" w:name="_Toc8301950"/>
      <w:r w:rsidRPr="00CD2B56">
        <w:rPr>
          <w:rFonts w:ascii="Tahoma" w:hAnsi="Tahoma" w:cs="Tahoma"/>
          <w:b/>
          <w:color w:val="auto"/>
          <w:sz w:val="24"/>
          <w:szCs w:val="24"/>
        </w:rPr>
        <w:t>SECTOR PERFOMANCE</w:t>
      </w:r>
      <w:bookmarkEnd w:id="1"/>
    </w:p>
    <w:p w:rsidR="00695727" w:rsidRPr="00CD2B56" w:rsidRDefault="00695727" w:rsidP="00695727">
      <w:pPr>
        <w:rPr>
          <w:rFonts w:ascii="Tahoma" w:hAnsi="Tahoma" w:cs="Tahoma"/>
          <w:sz w:val="24"/>
          <w:szCs w:val="24"/>
        </w:rPr>
      </w:pPr>
    </w:p>
    <w:p w:rsidR="00695727" w:rsidRPr="00CD2B56" w:rsidRDefault="00695727" w:rsidP="00695727">
      <w:pPr>
        <w:pStyle w:val="Heading2"/>
        <w:rPr>
          <w:rFonts w:cs="Tahoma"/>
          <w:sz w:val="24"/>
          <w:szCs w:val="24"/>
        </w:rPr>
      </w:pPr>
      <w:bookmarkStart w:id="2" w:name="_Toc8301951"/>
      <w:r w:rsidRPr="00CD2B56">
        <w:rPr>
          <w:rFonts w:cs="Tahoma"/>
          <w:sz w:val="24"/>
          <w:szCs w:val="24"/>
        </w:rPr>
        <w:t>Agriculture</w:t>
      </w:r>
      <w:bookmarkEnd w:id="2"/>
    </w:p>
    <w:p w:rsidR="00695727" w:rsidRPr="00CD2B56" w:rsidRDefault="00695727" w:rsidP="00695727">
      <w:pPr>
        <w:rPr>
          <w:rFonts w:ascii="Tahoma" w:hAnsi="Tahoma" w:cs="Tahoma"/>
          <w:sz w:val="24"/>
          <w:szCs w:val="24"/>
        </w:rPr>
      </w:pPr>
    </w:p>
    <w:p w:rsidR="00695727" w:rsidRPr="00CD2B56" w:rsidRDefault="00695727" w:rsidP="00695727">
      <w:pPr>
        <w:pStyle w:val="ListParagraph"/>
        <w:numPr>
          <w:ilvl w:val="0"/>
          <w:numId w:val="1"/>
        </w:numPr>
        <w:spacing w:after="160" w:line="360" w:lineRule="auto"/>
        <w:ind w:left="567" w:hanging="567"/>
        <w:jc w:val="both"/>
        <w:rPr>
          <w:rFonts w:ascii="Tahoma" w:hAnsi="Tahoma" w:cs="Tahoma"/>
          <w:sz w:val="24"/>
          <w:szCs w:val="24"/>
        </w:rPr>
      </w:pPr>
      <w:r w:rsidRPr="00CD2B56">
        <w:rPr>
          <w:rFonts w:ascii="Tahoma" w:hAnsi="Tahoma" w:cs="Tahoma"/>
          <w:sz w:val="24"/>
          <w:szCs w:val="24"/>
        </w:rPr>
        <w:t xml:space="preserve">The first quarter marks the end of the 2018/19 agriculture season. This year’s second half of the 2018/19 season was characterised by </w:t>
      </w:r>
      <w:r>
        <w:rPr>
          <w:rFonts w:ascii="Tahoma" w:hAnsi="Tahoma" w:cs="Tahoma"/>
          <w:sz w:val="24"/>
          <w:szCs w:val="24"/>
        </w:rPr>
        <w:t xml:space="preserve">a </w:t>
      </w:r>
      <w:r w:rsidRPr="00CD2B56">
        <w:rPr>
          <w:rFonts w:ascii="Tahoma" w:hAnsi="Tahoma" w:cs="Tahoma"/>
          <w:sz w:val="24"/>
          <w:szCs w:val="24"/>
        </w:rPr>
        <w:t>dry spell, especially on the southern parts the country.</w:t>
      </w:r>
    </w:p>
    <w:p w:rsidR="00695727" w:rsidRPr="00CD2B56" w:rsidRDefault="00695727" w:rsidP="00695727">
      <w:pPr>
        <w:spacing w:after="0" w:line="360" w:lineRule="auto"/>
        <w:ind w:left="360"/>
        <w:jc w:val="both"/>
        <w:rPr>
          <w:rFonts w:ascii="Tahoma" w:hAnsi="Tahoma" w:cs="Tahoma"/>
          <w:sz w:val="24"/>
          <w:szCs w:val="24"/>
        </w:rPr>
      </w:pPr>
    </w:p>
    <w:p w:rsidR="00695727" w:rsidRPr="00A87AEC" w:rsidRDefault="00695727" w:rsidP="00A87AEC">
      <w:pPr>
        <w:pStyle w:val="ListParagraph"/>
        <w:numPr>
          <w:ilvl w:val="0"/>
          <w:numId w:val="1"/>
        </w:numPr>
        <w:spacing w:after="160" w:line="360" w:lineRule="auto"/>
        <w:ind w:left="567" w:hanging="567"/>
        <w:jc w:val="both"/>
        <w:rPr>
          <w:rFonts w:ascii="Tahoma" w:hAnsi="Tahoma" w:cs="Tahoma"/>
          <w:sz w:val="24"/>
          <w:szCs w:val="24"/>
        </w:rPr>
      </w:pPr>
      <w:r w:rsidRPr="00CD2B56">
        <w:rPr>
          <w:rFonts w:ascii="Tahoma" w:hAnsi="Tahoma" w:cs="Tahoma"/>
          <w:sz w:val="24"/>
          <w:szCs w:val="24"/>
        </w:rPr>
        <w:lastRenderedPageBreak/>
        <w:t>Generally, in most parts of the country</w:t>
      </w:r>
      <w:r>
        <w:rPr>
          <w:rFonts w:ascii="Tahoma" w:hAnsi="Tahoma" w:cs="Tahoma"/>
          <w:sz w:val="24"/>
          <w:szCs w:val="24"/>
        </w:rPr>
        <w:t>,</w:t>
      </w:r>
      <w:r w:rsidRPr="00CD2B56">
        <w:rPr>
          <w:rFonts w:ascii="Tahoma" w:hAnsi="Tahoma" w:cs="Tahoma"/>
          <w:sz w:val="24"/>
          <w:szCs w:val="24"/>
        </w:rPr>
        <w:t xml:space="preserve"> crops were showing signs of moisture stress with condition ranging from poor to good depending on the amount of rainfall </w:t>
      </w:r>
      <w:r w:rsidRPr="00A87AEC">
        <w:rPr>
          <w:rFonts w:ascii="Tahoma" w:hAnsi="Tahoma" w:cs="Tahoma"/>
          <w:sz w:val="24"/>
          <w:szCs w:val="24"/>
        </w:rPr>
        <w:t xml:space="preserve">received in respective areas. </w:t>
      </w:r>
    </w:p>
    <w:p w:rsidR="00695727" w:rsidRPr="00CD2B56" w:rsidRDefault="00695727" w:rsidP="00695727">
      <w:pPr>
        <w:pStyle w:val="ListParagraph"/>
        <w:rPr>
          <w:rFonts w:ascii="Tahoma" w:hAnsi="Tahoma" w:cs="Tahoma"/>
          <w:sz w:val="24"/>
          <w:szCs w:val="24"/>
        </w:rPr>
      </w:pPr>
    </w:p>
    <w:p w:rsidR="00695727" w:rsidRPr="00CD2B56" w:rsidRDefault="00695727" w:rsidP="00695727">
      <w:pPr>
        <w:pStyle w:val="ListParagraph"/>
        <w:numPr>
          <w:ilvl w:val="0"/>
          <w:numId w:val="1"/>
        </w:numPr>
        <w:spacing w:after="160" w:line="360" w:lineRule="auto"/>
        <w:ind w:left="567" w:hanging="567"/>
        <w:jc w:val="both"/>
        <w:rPr>
          <w:rFonts w:ascii="Tahoma" w:hAnsi="Tahoma" w:cs="Tahoma"/>
          <w:sz w:val="24"/>
          <w:szCs w:val="24"/>
        </w:rPr>
      </w:pPr>
      <w:r w:rsidRPr="00CD2B56">
        <w:rPr>
          <w:rFonts w:ascii="Tahoma" w:hAnsi="Tahoma" w:cs="Tahoma"/>
          <w:sz w:val="24"/>
          <w:szCs w:val="24"/>
        </w:rPr>
        <w:t>In addition, cyclone Idai brought some floods in Manicaland and Masvingo Provinces which destroyed crops and livestock worsening the already severe situation.</w:t>
      </w:r>
    </w:p>
    <w:p w:rsidR="00695727" w:rsidRDefault="00695727" w:rsidP="00695727">
      <w:pPr>
        <w:spacing w:after="0" w:line="360" w:lineRule="auto"/>
        <w:ind w:left="360"/>
        <w:jc w:val="both"/>
        <w:rPr>
          <w:rFonts w:ascii="Tahoma" w:hAnsi="Tahoma" w:cs="Tahoma"/>
          <w:sz w:val="24"/>
          <w:szCs w:val="24"/>
        </w:rPr>
      </w:pPr>
    </w:p>
    <w:p w:rsidR="00695727" w:rsidRPr="008D3F62" w:rsidRDefault="00695727" w:rsidP="006A0FC2">
      <w:pPr>
        <w:spacing w:after="0" w:line="360" w:lineRule="auto"/>
        <w:ind w:left="360" w:firstLine="207"/>
        <w:jc w:val="both"/>
        <w:rPr>
          <w:rFonts w:ascii="Tahoma" w:hAnsi="Tahoma" w:cs="Tahoma"/>
          <w:i/>
          <w:sz w:val="24"/>
          <w:szCs w:val="24"/>
        </w:rPr>
      </w:pPr>
      <w:r w:rsidRPr="008D3F62">
        <w:rPr>
          <w:rFonts w:ascii="Tahoma" w:hAnsi="Tahoma" w:cs="Tahoma"/>
          <w:i/>
          <w:sz w:val="24"/>
          <w:szCs w:val="24"/>
        </w:rPr>
        <w:t>The First Round Crop and Livestock Report</w:t>
      </w:r>
    </w:p>
    <w:p w:rsidR="00695727" w:rsidRPr="00CD2B56" w:rsidRDefault="00695727" w:rsidP="00695727">
      <w:pPr>
        <w:spacing w:after="0" w:line="360" w:lineRule="auto"/>
        <w:ind w:left="360"/>
        <w:jc w:val="both"/>
        <w:rPr>
          <w:rFonts w:ascii="Tahoma" w:hAnsi="Tahoma" w:cs="Tahoma"/>
          <w:sz w:val="24"/>
          <w:szCs w:val="24"/>
        </w:rPr>
      </w:pPr>
    </w:p>
    <w:p w:rsidR="00695727" w:rsidRPr="00CD2B56" w:rsidRDefault="00695727" w:rsidP="00695727">
      <w:pPr>
        <w:pStyle w:val="ListParagraph"/>
        <w:numPr>
          <w:ilvl w:val="0"/>
          <w:numId w:val="1"/>
        </w:numPr>
        <w:spacing w:after="160" w:line="360" w:lineRule="auto"/>
        <w:ind w:left="567" w:hanging="567"/>
        <w:jc w:val="both"/>
        <w:rPr>
          <w:rFonts w:ascii="Tahoma" w:hAnsi="Tahoma" w:cs="Tahoma"/>
          <w:sz w:val="24"/>
          <w:szCs w:val="24"/>
        </w:rPr>
      </w:pPr>
      <w:r w:rsidRPr="00CD2B56">
        <w:rPr>
          <w:rFonts w:ascii="Tahoma" w:hAnsi="Tahoma" w:cs="Tahoma"/>
          <w:sz w:val="24"/>
          <w:szCs w:val="24"/>
        </w:rPr>
        <w:t>The First Round Crop and Livestock Report indicated a general increase in area planted for major crops except for some grains and few other small crops which recorded a decline.</w:t>
      </w:r>
    </w:p>
    <w:p w:rsidR="00695727" w:rsidRPr="00CD2B56" w:rsidRDefault="00695727" w:rsidP="00695727">
      <w:pPr>
        <w:pStyle w:val="ListParagraph"/>
        <w:rPr>
          <w:rFonts w:ascii="Tahoma" w:hAnsi="Tahoma" w:cs="Tahoma"/>
          <w:sz w:val="24"/>
          <w:szCs w:val="24"/>
        </w:rPr>
      </w:pPr>
    </w:p>
    <w:p w:rsidR="00695727" w:rsidRPr="00CD2B56" w:rsidRDefault="00695727" w:rsidP="00695727">
      <w:pPr>
        <w:pStyle w:val="ListParagraph"/>
        <w:numPr>
          <w:ilvl w:val="0"/>
          <w:numId w:val="1"/>
        </w:numPr>
        <w:spacing w:after="160" w:line="360" w:lineRule="auto"/>
        <w:ind w:left="567" w:hanging="567"/>
        <w:jc w:val="both"/>
        <w:rPr>
          <w:rFonts w:ascii="Tahoma" w:hAnsi="Tahoma" w:cs="Tahoma"/>
          <w:sz w:val="24"/>
          <w:szCs w:val="24"/>
        </w:rPr>
      </w:pPr>
      <w:r w:rsidRPr="00CD2B56">
        <w:rPr>
          <w:rFonts w:ascii="Tahoma" w:hAnsi="Tahoma" w:cs="Tahoma"/>
          <w:sz w:val="24"/>
          <w:szCs w:val="24"/>
        </w:rPr>
        <w:t>However, most crops succumbed to dry spell with significant area planted expecte</w:t>
      </w:r>
      <w:r w:rsidR="00A87AEC">
        <w:rPr>
          <w:rFonts w:ascii="Tahoma" w:hAnsi="Tahoma" w:cs="Tahoma"/>
          <w:sz w:val="24"/>
          <w:szCs w:val="24"/>
        </w:rPr>
        <w:t xml:space="preserve">d to be written off especially </w:t>
      </w:r>
      <w:r w:rsidR="00A87AEC" w:rsidRPr="00A266D2">
        <w:rPr>
          <w:rFonts w:ascii="Tahoma" w:hAnsi="Tahoma" w:cs="Tahoma"/>
          <w:sz w:val="24"/>
          <w:szCs w:val="24"/>
        </w:rPr>
        <w:t>i</w:t>
      </w:r>
      <w:r w:rsidRPr="00A266D2">
        <w:rPr>
          <w:rFonts w:ascii="Tahoma" w:hAnsi="Tahoma" w:cs="Tahoma"/>
          <w:sz w:val="24"/>
          <w:szCs w:val="24"/>
        </w:rPr>
        <w:t>n</w:t>
      </w:r>
      <w:r w:rsidRPr="00CD2B56">
        <w:rPr>
          <w:rFonts w:ascii="Tahoma" w:hAnsi="Tahoma" w:cs="Tahoma"/>
          <w:sz w:val="24"/>
          <w:szCs w:val="24"/>
        </w:rPr>
        <w:t xml:space="preserve"> the southern parts of the country. </w:t>
      </w:r>
      <w:r w:rsidR="00A87AEC" w:rsidRPr="00A266D2">
        <w:rPr>
          <w:rFonts w:ascii="Tahoma" w:hAnsi="Tahoma" w:cs="Tahoma"/>
          <w:sz w:val="24"/>
          <w:szCs w:val="24"/>
        </w:rPr>
        <w:t>In other parts of the country</w:t>
      </w:r>
      <w:r w:rsidR="00A266D2">
        <w:rPr>
          <w:rFonts w:ascii="Tahoma" w:hAnsi="Tahoma" w:cs="Tahoma"/>
          <w:sz w:val="24"/>
          <w:szCs w:val="24"/>
        </w:rPr>
        <w:t>,</w:t>
      </w:r>
      <w:r w:rsidR="00A87AEC">
        <w:rPr>
          <w:rFonts w:ascii="Tahoma" w:hAnsi="Tahoma" w:cs="Tahoma"/>
          <w:sz w:val="24"/>
          <w:szCs w:val="24"/>
        </w:rPr>
        <w:t xml:space="preserve"> e</w:t>
      </w:r>
      <w:r w:rsidRPr="00CD2B56">
        <w:rPr>
          <w:rFonts w:ascii="Tahoma" w:hAnsi="Tahoma" w:cs="Tahoma"/>
          <w:sz w:val="24"/>
          <w:szCs w:val="24"/>
        </w:rPr>
        <w:t xml:space="preserve">arly planted crop stood a chance to be harvested while the late planted </w:t>
      </w:r>
      <w:r>
        <w:rPr>
          <w:rFonts w:ascii="Tahoma" w:hAnsi="Tahoma" w:cs="Tahoma"/>
          <w:sz w:val="24"/>
          <w:szCs w:val="24"/>
        </w:rPr>
        <w:t xml:space="preserve">crop </w:t>
      </w:r>
      <w:r w:rsidRPr="00CD2B56">
        <w:rPr>
          <w:rFonts w:ascii="Tahoma" w:hAnsi="Tahoma" w:cs="Tahoma"/>
          <w:sz w:val="24"/>
          <w:szCs w:val="24"/>
        </w:rPr>
        <w:t>is most likely to be written off.</w:t>
      </w:r>
    </w:p>
    <w:p w:rsidR="00695727" w:rsidRPr="00CD2B56" w:rsidRDefault="00695727" w:rsidP="00695727">
      <w:pPr>
        <w:spacing w:after="0" w:line="360" w:lineRule="auto"/>
        <w:ind w:left="360"/>
        <w:jc w:val="both"/>
        <w:rPr>
          <w:rFonts w:ascii="Tahoma" w:hAnsi="Tahoma" w:cs="Tahoma"/>
          <w:sz w:val="24"/>
          <w:szCs w:val="24"/>
        </w:rPr>
      </w:pPr>
    </w:p>
    <w:p w:rsidR="00695727" w:rsidRPr="00CD2B56" w:rsidRDefault="00695727" w:rsidP="00695727">
      <w:pPr>
        <w:spacing w:after="0" w:line="240" w:lineRule="auto"/>
        <w:ind w:left="360"/>
        <w:jc w:val="both"/>
        <w:rPr>
          <w:rFonts w:ascii="Tahoma" w:hAnsi="Tahoma" w:cs="Tahoma"/>
          <w:b/>
          <w:sz w:val="24"/>
          <w:szCs w:val="24"/>
        </w:rPr>
      </w:pPr>
      <w:r w:rsidRPr="00CD2B56">
        <w:rPr>
          <w:rFonts w:ascii="Tahoma" w:hAnsi="Tahoma" w:cs="Tahoma"/>
          <w:b/>
          <w:sz w:val="24"/>
          <w:szCs w:val="24"/>
        </w:rPr>
        <w:t>Area Planted (Hactares)</w:t>
      </w:r>
    </w:p>
    <w:tbl>
      <w:tblPr>
        <w:tblW w:w="4636" w:type="pct"/>
        <w:tblInd w:w="416" w:type="dxa"/>
        <w:tblLook w:val="04A0" w:firstRow="1" w:lastRow="0" w:firstColumn="1" w:lastColumn="0" w:noHBand="0" w:noVBand="1"/>
      </w:tblPr>
      <w:tblGrid>
        <w:gridCol w:w="4116"/>
        <w:gridCol w:w="1424"/>
        <w:gridCol w:w="1424"/>
        <w:gridCol w:w="1696"/>
      </w:tblGrid>
      <w:tr w:rsidR="00695727" w:rsidRPr="008D3F62" w:rsidTr="00927493">
        <w:trPr>
          <w:trHeight w:val="57"/>
        </w:trPr>
        <w:tc>
          <w:tcPr>
            <w:tcW w:w="2377" w:type="pct"/>
            <w:tcBorders>
              <w:top w:val="single" w:sz="8" w:space="0" w:color="auto"/>
              <w:left w:val="single" w:sz="8" w:space="0" w:color="auto"/>
              <w:bottom w:val="single" w:sz="8" w:space="0" w:color="auto"/>
              <w:right w:val="single" w:sz="8" w:space="0" w:color="auto"/>
            </w:tcBorders>
            <w:shd w:val="clear" w:color="auto" w:fill="4F81BD" w:themeFill="accent1"/>
            <w:vAlign w:val="center"/>
            <w:hideMark/>
          </w:tcPr>
          <w:p w:rsidR="00695727" w:rsidRPr="008D3F62" w:rsidRDefault="00695727" w:rsidP="00927493">
            <w:pPr>
              <w:spacing w:after="0" w:line="240" w:lineRule="auto"/>
              <w:rPr>
                <w:rFonts w:ascii="Tahoma" w:hAnsi="Tahoma" w:cs="Tahoma"/>
                <w:b/>
                <w:bCs/>
                <w:color w:val="FFFFFF" w:themeColor="background1"/>
                <w:sz w:val="20"/>
                <w:szCs w:val="20"/>
                <w:lang w:val="en-ZA" w:eastAsia="en-ZA"/>
              </w:rPr>
            </w:pPr>
            <w:r w:rsidRPr="008D3F62">
              <w:rPr>
                <w:rFonts w:ascii="Tahoma" w:hAnsi="Tahoma" w:cs="Tahoma"/>
                <w:b/>
                <w:bCs/>
                <w:color w:val="FFFFFF" w:themeColor="background1"/>
                <w:sz w:val="20"/>
                <w:szCs w:val="20"/>
                <w:lang w:val="en-ZA" w:eastAsia="en-ZA"/>
              </w:rPr>
              <w:t>Crop</w:t>
            </w:r>
          </w:p>
        </w:tc>
        <w:tc>
          <w:tcPr>
            <w:tcW w:w="822" w:type="pct"/>
            <w:tcBorders>
              <w:top w:val="single" w:sz="8" w:space="0" w:color="auto"/>
              <w:left w:val="nil"/>
              <w:bottom w:val="single" w:sz="8" w:space="0" w:color="auto"/>
              <w:right w:val="single" w:sz="8" w:space="0" w:color="auto"/>
            </w:tcBorders>
            <w:shd w:val="clear" w:color="auto" w:fill="4F81BD" w:themeFill="accent1"/>
            <w:vAlign w:val="center"/>
            <w:hideMark/>
          </w:tcPr>
          <w:p w:rsidR="00695727" w:rsidRPr="008D3F62" w:rsidRDefault="00695727" w:rsidP="00927493">
            <w:pPr>
              <w:spacing w:after="0" w:line="240" w:lineRule="auto"/>
              <w:rPr>
                <w:rFonts w:ascii="Tahoma" w:hAnsi="Tahoma" w:cs="Tahoma"/>
                <w:b/>
                <w:bCs/>
                <w:color w:val="FFFFFF" w:themeColor="background1"/>
                <w:sz w:val="20"/>
                <w:szCs w:val="20"/>
                <w:lang w:val="en-ZA" w:eastAsia="en-ZA"/>
              </w:rPr>
            </w:pPr>
            <w:r w:rsidRPr="008D3F62">
              <w:rPr>
                <w:rFonts w:ascii="Tahoma" w:hAnsi="Tahoma" w:cs="Tahoma"/>
                <w:b/>
                <w:bCs/>
                <w:color w:val="FFFFFF" w:themeColor="background1"/>
                <w:sz w:val="20"/>
                <w:szCs w:val="20"/>
                <w:lang w:val="en-ZA" w:eastAsia="en-ZA"/>
              </w:rPr>
              <w:t>2018/2019</w:t>
            </w:r>
          </w:p>
        </w:tc>
        <w:tc>
          <w:tcPr>
            <w:tcW w:w="822" w:type="pct"/>
            <w:tcBorders>
              <w:top w:val="single" w:sz="8" w:space="0" w:color="auto"/>
              <w:left w:val="nil"/>
              <w:bottom w:val="single" w:sz="8" w:space="0" w:color="auto"/>
              <w:right w:val="single" w:sz="8" w:space="0" w:color="auto"/>
            </w:tcBorders>
            <w:shd w:val="clear" w:color="auto" w:fill="4F81BD" w:themeFill="accent1"/>
            <w:vAlign w:val="center"/>
            <w:hideMark/>
          </w:tcPr>
          <w:p w:rsidR="00695727" w:rsidRPr="008D3F62" w:rsidRDefault="00695727" w:rsidP="00927493">
            <w:pPr>
              <w:spacing w:after="0" w:line="240" w:lineRule="auto"/>
              <w:rPr>
                <w:rFonts w:ascii="Tahoma" w:hAnsi="Tahoma" w:cs="Tahoma"/>
                <w:b/>
                <w:bCs/>
                <w:color w:val="FFFFFF" w:themeColor="background1"/>
                <w:sz w:val="20"/>
                <w:szCs w:val="20"/>
                <w:lang w:val="en-ZA" w:eastAsia="en-ZA"/>
              </w:rPr>
            </w:pPr>
            <w:r w:rsidRPr="008D3F62">
              <w:rPr>
                <w:rFonts w:ascii="Tahoma" w:hAnsi="Tahoma" w:cs="Tahoma"/>
                <w:b/>
                <w:bCs/>
                <w:color w:val="FFFFFF" w:themeColor="background1"/>
                <w:sz w:val="20"/>
                <w:szCs w:val="20"/>
                <w:lang w:val="en-ZA" w:eastAsia="en-ZA"/>
              </w:rPr>
              <w:t>2017/2018</w:t>
            </w:r>
          </w:p>
        </w:tc>
        <w:tc>
          <w:tcPr>
            <w:tcW w:w="979" w:type="pct"/>
            <w:tcBorders>
              <w:top w:val="single" w:sz="8" w:space="0" w:color="auto"/>
              <w:left w:val="nil"/>
              <w:bottom w:val="single" w:sz="8" w:space="0" w:color="auto"/>
              <w:right w:val="single" w:sz="8" w:space="0" w:color="auto"/>
            </w:tcBorders>
            <w:shd w:val="clear" w:color="auto" w:fill="4F81BD" w:themeFill="accent1"/>
            <w:vAlign w:val="center"/>
            <w:hideMark/>
          </w:tcPr>
          <w:p w:rsidR="00695727" w:rsidRPr="008D3F62" w:rsidRDefault="00695727" w:rsidP="00927493">
            <w:pPr>
              <w:spacing w:after="0" w:line="240" w:lineRule="auto"/>
              <w:rPr>
                <w:rFonts w:ascii="Tahoma" w:hAnsi="Tahoma" w:cs="Tahoma"/>
                <w:b/>
                <w:bCs/>
                <w:color w:val="FFFFFF" w:themeColor="background1"/>
                <w:sz w:val="20"/>
                <w:szCs w:val="20"/>
                <w:lang w:val="en-ZA" w:eastAsia="en-ZA"/>
              </w:rPr>
            </w:pPr>
            <w:r w:rsidRPr="008D3F62">
              <w:rPr>
                <w:rFonts w:ascii="Tahoma" w:hAnsi="Tahoma" w:cs="Tahoma"/>
                <w:b/>
                <w:bCs/>
                <w:color w:val="FFFFFF" w:themeColor="background1"/>
                <w:sz w:val="20"/>
                <w:szCs w:val="20"/>
                <w:lang w:val="en-ZA" w:eastAsia="en-ZA"/>
              </w:rPr>
              <w:t xml:space="preserve">Change (%) </w:t>
            </w:r>
          </w:p>
        </w:tc>
      </w:tr>
      <w:tr w:rsidR="00695727" w:rsidRPr="008D3F62" w:rsidTr="00927493">
        <w:trPr>
          <w:trHeight w:val="57"/>
        </w:trPr>
        <w:tc>
          <w:tcPr>
            <w:tcW w:w="2377" w:type="pct"/>
            <w:tcBorders>
              <w:top w:val="nil"/>
              <w:left w:val="single" w:sz="8" w:space="0" w:color="auto"/>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rPr>
                <w:rFonts w:ascii="Tahoma" w:hAnsi="Tahoma" w:cs="Tahoma"/>
                <w:sz w:val="20"/>
                <w:szCs w:val="20"/>
                <w:lang w:val="en-ZA" w:eastAsia="en-ZA"/>
              </w:rPr>
            </w:pPr>
            <w:r w:rsidRPr="008D3F62">
              <w:rPr>
                <w:rFonts w:ascii="Tahoma" w:hAnsi="Tahoma" w:cs="Tahoma"/>
                <w:sz w:val="20"/>
                <w:szCs w:val="20"/>
                <w:lang w:val="en-ZA" w:eastAsia="en-ZA"/>
              </w:rPr>
              <w:t>Maize</w:t>
            </w:r>
          </w:p>
        </w:tc>
        <w:tc>
          <w:tcPr>
            <w:tcW w:w="822" w:type="pct"/>
            <w:tcBorders>
              <w:top w:val="nil"/>
              <w:left w:val="nil"/>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eastAsia="en-ZA"/>
              </w:rPr>
              <w:t>1 604 850</w:t>
            </w:r>
          </w:p>
        </w:tc>
        <w:tc>
          <w:tcPr>
            <w:tcW w:w="822" w:type="pct"/>
            <w:tcBorders>
              <w:top w:val="nil"/>
              <w:left w:val="nil"/>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eastAsia="en-ZA"/>
              </w:rPr>
              <w:t>1 722 718</w:t>
            </w:r>
          </w:p>
        </w:tc>
        <w:tc>
          <w:tcPr>
            <w:tcW w:w="979" w:type="pct"/>
            <w:tcBorders>
              <w:top w:val="nil"/>
              <w:left w:val="nil"/>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-7</w:t>
            </w:r>
          </w:p>
        </w:tc>
      </w:tr>
      <w:tr w:rsidR="00695727" w:rsidRPr="008D3F62" w:rsidTr="00927493">
        <w:trPr>
          <w:trHeight w:val="57"/>
        </w:trPr>
        <w:tc>
          <w:tcPr>
            <w:tcW w:w="2377" w:type="pct"/>
            <w:tcBorders>
              <w:top w:val="nil"/>
              <w:left w:val="single" w:sz="8" w:space="0" w:color="auto"/>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rPr>
                <w:rFonts w:ascii="Tahoma" w:hAnsi="Tahoma" w:cs="Tahoma"/>
                <w:sz w:val="20"/>
                <w:szCs w:val="20"/>
                <w:lang w:val="en-ZA" w:eastAsia="en-ZA"/>
              </w:rPr>
            </w:pPr>
            <w:r w:rsidRPr="008D3F62">
              <w:rPr>
                <w:rFonts w:ascii="Tahoma" w:hAnsi="Tahoma" w:cs="Tahoma"/>
                <w:sz w:val="20"/>
                <w:szCs w:val="20"/>
                <w:lang w:val="en-ZA" w:eastAsia="en-ZA"/>
              </w:rPr>
              <w:t>Sorghum</w:t>
            </w:r>
          </w:p>
        </w:tc>
        <w:tc>
          <w:tcPr>
            <w:tcW w:w="822" w:type="pct"/>
            <w:tcBorders>
              <w:top w:val="nil"/>
              <w:left w:val="nil"/>
              <w:bottom w:val="single" w:sz="8" w:space="0" w:color="auto"/>
              <w:right w:val="single" w:sz="8" w:space="0" w:color="auto"/>
            </w:tcBorders>
            <w:shd w:val="clear" w:color="auto" w:fill="B8CCE4" w:themeFill="accent1" w:themeFillTint="66"/>
            <w:noWrap/>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193 248</w:t>
            </w:r>
          </w:p>
        </w:tc>
        <w:tc>
          <w:tcPr>
            <w:tcW w:w="822" w:type="pct"/>
            <w:tcBorders>
              <w:top w:val="nil"/>
              <w:left w:val="nil"/>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eastAsia="en-ZA"/>
              </w:rPr>
              <w:t>180 625</w:t>
            </w:r>
          </w:p>
        </w:tc>
        <w:tc>
          <w:tcPr>
            <w:tcW w:w="979" w:type="pct"/>
            <w:tcBorders>
              <w:top w:val="nil"/>
              <w:left w:val="nil"/>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7</w:t>
            </w:r>
          </w:p>
        </w:tc>
      </w:tr>
      <w:tr w:rsidR="00695727" w:rsidRPr="008D3F62" w:rsidTr="00927493">
        <w:trPr>
          <w:trHeight w:val="57"/>
        </w:trPr>
        <w:tc>
          <w:tcPr>
            <w:tcW w:w="2377" w:type="pct"/>
            <w:tcBorders>
              <w:top w:val="nil"/>
              <w:left w:val="single" w:sz="8" w:space="0" w:color="auto"/>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rPr>
                <w:rFonts w:ascii="Tahoma" w:hAnsi="Tahoma" w:cs="Tahoma"/>
                <w:sz w:val="20"/>
                <w:szCs w:val="20"/>
                <w:lang w:val="en-ZA" w:eastAsia="en-ZA"/>
              </w:rPr>
            </w:pPr>
            <w:r w:rsidRPr="008D3F62">
              <w:rPr>
                <w:rFonts w:ascii="Tahoma" w:hAnsi="Tahoma" w:cs="Tahoma"/>
                <w:sz w:val="20"/>
                <w:szCs w:val="20"/>
                <w:lang w:val="en-ZA" w:eastAsia="en-ZA"/>
              </w:rPr>
              <w:t>Pearl millet</w:t>
            </w:r>
          </w:p>
        </w:tc>
        <w:tc>
          <w:tcPr>
            <w:tcW w:w="822" w:type="pct"/>
            <w:tcBorders>
              <w:top w:val="nil"/>
              <w:left w:val="nil"/>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eastAsia="en-ZA"/>
              </w:rPr>
              <w:t>150 570</w:t>
            </w:r>
          </w:p>
        </w:tc>
        <w:tc>
          <w:tcPr>
            <w:tcW w:w="822" w:type="pct"/>
            <w:tcBorders>
              <w:top w:val="nil"/>
              <w:left w:val="nil"/>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GB" w:eastAsia="en-ZA"/>
              </w:rPr>
              <w:t>157 366</w:t>
            </w:r>
          </w:p>
        </w:tc>
        <w:tc>
          <w:tcPr>
            <w:tcW w:w="979" w:type="pct"/>
            <w:tcBorders>
              <w:top w:val="nil"/>
              <w:left w:val="nil"/>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-4</w:t>
            </w:r>
          </w:p>
        </w:tc>
      </w:tr>
      <w:tr w:rsidR="00695727" w:rsidRPr="008D3F62" w:rsidTr="00927493">
        <w:trPr>
          <w:trHeight w:val="57"/>
        </w:trPr>
        <w:tc>
          <w:tcPr>
            <w:tcW w:w="2377" w:type="pct"/>
            <w:tcBorders>
              <w:top w:val="nil"/>
              <w:left w:val="single" w:sz="8" w:space="0" w:color="auto"/>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rPr>
                <w:rFonts w:ascii="Tahoma" w:hAnsi="Tahoma" w:cs="Tahoma"/>
                <w:sz w:val="20"/>
                <w:szCs w:val="20"/>
                <w:lang w:val="en-ZA" w:eastAsia="en-ZA"/>
              </w:rPr>
            </w:pPr>
            <w:r w:rsidRPr="008D3F62">
              <w:rPr>
                <w:rFonts w:ascii="Tahoma" w:hAnsi="Tahoma" w:cs="Tahoma"/>
                <w:sz w:val="20"/>
                <w:szCs w:val="20"/>
                <w:lang w:val="en-ZA" w:eastAsia="en-ZA"/>
              </w:rPr>
              <w:t>Finger millet</w:t>
            </w:r>
          </w:p>
        </w:tc>
        <w:tc>
          <w:tcPr>
            <w:tcW w:w="822" w:type="pct"/>
            <w:tcBorders>
              <w:top w:val="nil"/>
              <w:left w:val="nil"/>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eastAsia="en-ZA"/>
              </w:rPr>
              <w:t>25 770</w:t>
            </w:r>
          </w:p>
        </w:tc>
        <w:tc>
          <w:tcPr>
            <w:tcW w:w="822" w:type="pct"/>
            <w:tcBorders>
              <w:top w:val="nil"/>
              <w:left w:val="nil"/>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eastAsia="en-ZA"/>
              </w:rPr>
              <w:t>25 850</w:t>
            </w:r>
          </w:p>
        </w:tc>
        <w:tc>
          <w:tcPr>
            <w:tcW w:w="979" w:type="pct"/>
            <w:tcBorders>
              <w:top w:val="nil"/>
              <w:left w:val="nil"/>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0</w:t>
            </w:r>
          </w:p>
        </w:tc>
      </w:tr>
      <w:tr w:rsidR="00695727" w:rsidRPr="008D3F62" w:rsidTr="00927493">
        <w:trPr>
          <w:trHeight w:val="57"/>
        </w:trPr>
        <w:tc>
          <w:tcPr>
            <w:tcW w:w="2377" w:type="pct"/>
            <w:tcBorders>
              <w:top w:val="nil"/>
              <w:left w:val="single" w:sz="8" w:space="0" w:color="auto"/>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rPr>
                <w:rFonts w:ascii="Tahoma" w:hAnsi="Tahoma" w:cs="Tahoma"/>
                <w:sz w:val="20"/>
                <w:szCs w:val="20"/>
                <w:lang w:val="en-ZA" w:eastAsia="en-ZA"/>
              </w:rPr>
            </w:pPr>
            <w:r w:rsidRPr="008D3F62">
              <w:rPr>
                <w:rFonts w:ascii="Tahoma" w:hAnsi="Tahoma" w:cs="Tahoma"/>
                <w:sz w:val="20"/>
                <w:szCs w:val="20"/>
                <w:lang w:val="en-ZA" w:eastAsia="en-ZA"/>
              </w:rPr>
              <w:t>Rice</w:t>
            </w:r>
          </w:p>
        </w:tc>
        <w:tc>
          <w:tcPr>
            <w:tcW w:w="822" w:type="pct"/>
            <w:tcBorders>
              <w:top w:val="nil"/>
              <w:left w:val="nil"/>
              <w:bottom w:val="single" w:sz="8" w:space="0" w:color="auto"/>
              <w:right w:val="single" w:sz="8" w:space="0" w:color="auto"/>
            </w:tcBorders>
            <w:shd w:val="clear" w:color="000000" w:fill="FFFFFF"/>
            <w:noWrap/>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845</w:t>
            </w:r>
          </w:p>
        </w:tc>
        <w:tc>
          <w:tcPr>
            <w:tcW w:w="822" w:type="pct"/>
            <w:tcBorders>
              <w:top w:val="nil"/>
              <w:left w:val="nil"/>
              <w:bottom w:val="single" w:sz="8" w:space="0" w:color="auto"/>
              <w:right w:val="single" w:sz="8" w:space="0" w:color="auto"/>
            </w:tcBorders>
            <w:shd w:val="clear" w:color="000000" w:fill="FFFFFF"/>
            <w:noWrap/>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1 005</w:t>
            </w:r>
          </w:p>
        </w:tc>
        <w:tc>
          <w:tcPr>
            <w:tcW w:w="979" w:type="pct"/>
            <w:tcBorders>
              <w:top w:val="nil"/>
              <w:left w:val="nil"/>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-16</w:t>
            </w:r>
          </w:p>
        </w:tc>
      </w:tr>
      <w:tr w:rsidR="00695727" w:rsidRPr="008D3F62" w:rsidTr="00927493">
        <w:trPr>
          <w:trHeight w:val="57"/>
        </w:trPr>
        <w:tc>
          <w:tcPr>
            <w:tcW w:w="2377" w:type="pct"/>
            <w:tcBorders>
              <w:top w:val="nil"/>
              <w:left w:val="single" w:sz="8" w:space="0" w:color="auto"/>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rPr>
                <w:rFonts w:ascii="Tahoma" w:hAnsi="Tahoma" w:cs="Tahoma"/>
                <w:sz w:val="20"/>
                <w:szCs w:val="20"/>
                <w:lang w:val="en-ZA" w:eastAsia="en-ZA"/>
              </w:rPr>
            </w:pPr>
            <w:r w:rsidRPr="008D3F62">
              <w:rPr>
                <w:rFonts w:ascii="Tahoma" w:hAnsi="Tahoma" w:cs="Tahoma"/>
                <w:sz w:val="20"/>
                <w:szCs w:val="20"/>
                <w:lang w:val="en-ZA" w:eastAsia="en-ZA"/>
              </w:rPr>
              <w:t>Tobacco</w:t>
            </w:r>
          </w:p>
        </w:tc>
        <w:tc>
          <w:tcPr>
            <w:tcW w:w="822" w:type="pct"/>
            <w:tcBorders>
              <w:top w:val="nil"/>
              <w:left w:val="nil"/>
              <w:bottom w:val="single" w:sz="8" w:space="0" w:color="auto"/>
              <w:right w:val="single" w:sz="8" w:space="0" w:color="auto"/>
            </w:tcBorders>
            <w:shd w:val="clear" w:color="auto" w:fill="B8CCE4" w:themeFill="accent1" w:themeFillTint="66"/>
            <w:noWrap/>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125 670</w:t>
            </w:r>
          </w:p>
        </w:tc>
        <w:tc>
          <w:tcPr>
            <w:tcW w:w="822" w:type="pct"/>
            <w:tcBorders>
              <w:top w:val="nil"/>
              <w:left w:val="nil"/>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eastAsia="en-ZA"/>
              </w:rPr>
              <w:t>104 395</w:t>
            </w:r>
          </w:p>
        </w:tc>
        <w:tc>
          <w:tcPr>
            <w:tcW w:w="979" w:type="pct"/>
            <w:tcBorders>
              <w:top w:val="nil"/>
              <w:left w:val="nil"/>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20</w:t>
            </w:r>
          </w:p>
        </w:tc>
      </w:tr>
      <w:tr w:rsidR="00695727" w:rsidRPr="008D3F62" w:rsidTr="00927493">
        <w:trPr>
          <w:trHeight w:val="57"/>
        </w:trPr>
        <w:tc>
          <w:tcPr>
            <w:tcW w:w="2377" w:type="pct"/>
            <w:tcBorders>
              <w:top w:val="nil"/>
              <w:left w:val="single" w:sz="8" w:space="0" w:color="auto"/>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rPr>
                <w:rFonts w:ascii="Tahoma" w:hAnsi="Tahoma" w:cs="Tahoma"/>
                <w:sz w:val="20"/>
                <w:szCs w:val="20"/>
                <w:lang w:val="en-ZA" w:eastAsia="en-ZA"/>
              </w:rPr>
            </w:pPr>
            <w:r w:rsidRPr="008D3F62">
              <w:rPr>
                <w:rFonts w:ascii="Tahoma" w:hAnsi="Tahoma" w:cs="Tahoma"/>
                <w:sz w:val="20"/>
                <w:szCs w:val="20"/>
                <w:lang w:val="en-ZA" w:eastAsia="en-ZA"/>
              </w:rPr>
              <w:t>Soyabean</w:t>
            </w:r>
          </w:p>
        </w:tc>
        <w:tc>
          <w:tcPr>
            <w:tcW w:w="822" w:type="pct"/>
            <w:tcBorders>
              <w:top w:val="nil"/>
              <w:left w:val="nil"/>
              <w:bottom w:val="single" w:sz="8" w:space="0" w:color="auto"/>
              <w:right w:val="single" w:sz="8" w:space="0" w:color="auto"/>
            </w:tcBorders>
            <w:shd w:val="clear" w:color="000000" w:fill="FFFFFF"/>
            <w:noWrap/>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55 141</w:t>
            </w:r>
          </w:p>
        </w:tc>
        <w:tc>
          <w:tcPr>
            <w:tcW w:w="822" w:type="pct"/>
            <w:tcBorders>
              <w:top w:val="nil"/>
              <w:left w:val="nil"/>
              <w:bottom w:val="single" w:sz="8" w:space="0" w:color="auto"/>
              <w:right w:val="single" w:sz="8" w:space="0" w:color="auto"/>
            </w:tcBorders>
            <w:shd w:val="clear" w:color="000000" w:fill="FFFFFF"/>
            <w:noWrap/>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40 479</w:t>
            </w:r>
          </w:p>
        </w:tc>
        <w:tc>
          <w:tcPr>
            <w:tcW w:w="979" w:type="pct"/>
            <w:tcBorders>
              <w:top w:val="nil"/>
              <w:left w:val="nil"/>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36</w:t>
            </w:r>
          </w:p>
        </w:tc>
      </w:tr>
      <w:tr w:rsidR="00695727" w:rsidRPr="008D3F62" w:rsidTr="00927493">
        <w:trPr>
          <w:trHeight w:val="57"/>
        </w:trPr>
        <w:tc>
          <w:tcPr>
            <w:tcW w:w="2377" w:type="pct"/>
            <w:tcBorders>
              <w:top w:val="nil"/>
              <w:left w:val="single" w:sz="8" w:space="0" w:color="auto"/>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rPr>
                <w:rFonts w:ascii="Tahoma" w:hAnsi="Tahoma" w:cs="Tahoma"/>
                <w:sz w:val="20"/>
                <w:szCs w:val="20"/>
                <w:lang w:val="en-ZA" w:eastAsia="en-ZA"/>
              </w:rPr>
            </w:pPr>
            <w:r w:rsidRPr="008D3F62">
              <w:rPr>
                <w:rFonts w:ascii="Tahoma" w:hAnsi="Tahoma" w:cs="Tahoma"/>
                <w:sz w:val="20"/>
                <w:szCs w:val="20"/>
                <w:lang w:val="en-ZA" w:eastAsia="en-ZA"/>
              </w:rPr>
              <w:t>Cotton</w:t>
            </w:r>
          </w:p>
        </w:tc>
        <w:tc>
          <w:tcPr>
            <w:tcW w:w="822" w:type="pct"/>
            <w:tcBorders>
              <w:top w:val="nil"/>
              <w:left w:val="nil"/>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206 992</w:t>
            </w:r>
          </w:p>
        </w:tc>
        <w:tc>
          <w:tcPr>
            <w:tcW w:w="822" w:type="pct"/>
            <w:tcBorders>
              <w:top w:val="nil"/>
              <w:left w:val="nil"/>
              <w:bottom w:val="single" w:sz="8" w:space="0" w:color="auto"/>
              <w:right w:val="single" w:sz="8" w:space="0" w:color="auto"/>
            </w:tcBorders>
            <w:shd w:val="clear" w:color="auto" w:fill="B8CCE4" w:themeFill="accent1" w:themeFillTint="66"/>
            <w:noWrap/>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eastAsia="en-ZW"/>
              </w:rPr>
              <w:t>200 591</w:t>
            </w:r>
          </w:p>
        </w:tc>
        <w:tc>
          <w:tcPr>
            <w:tcW w:w="979" w:type="pct"/>
            <w:tcBorders>
              <w:top w:val="nil"/>
              <w:left w:val="nil"/>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eastAsia="en-ZW"/>
              </w:rPr>
              <w:t>3</w:t>
            </w:r>
          </w:p>
        </w:tc>
      </w:tr>
      <w:tr w:rsidR="00695727" w:rsidRPr="008D3F62" w:rsidTr="00927493">
        <w:trPr>
          <w:trHeight w:val="57"/>
        </w:trPr>
        <w:tc>
          <w:tcPr>
            <w:tcW w:w="2377" w:type="pct"/>
            <w:tcBorders>
              <w:top w:val="nil"/>
              <w:left w:val="single" w:sz="8" w:space="0" w:color="auto"/>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rPr>
                <w:rFonts w:ascii="Tahoma" w:hAnsi="Tahoma" w:cs="Tahoma"/>
                <w:sz w:val="20"/>
                <w:szCs w:val="20"/>
                <w:lang w:val="en-ZA" w:eastAsia="en-ZA"/>
              </w:rPr>
            </w:pPr>
            <w:r w:rsidRPr="008D3F62">
              <w:rPr>
                <w:rFonts w:ascii="Tahoma" w:hAnsi="Tahoma" w:cs="Tahoma"/>
                <w:sz w:val="20"/>
                <w:szCs w:val="20"/>
                <w:lang w:val="en-ZA" w:eastAsia="en-ZA"/>
              </w:rPr>
              <w:t>Groundnut</w:t>
            </w:r>
          </w:p>
        </w:tc>
        <w:tc>
          <w:tcPr>
            <w:tcW w:w="822" w:type="pct"/>
            <w:tcBorders>
              <w:top w:val="nil"/>
              <w:left w:val="nil"/>
              <w:bottom w:val="single" w:sz="8" w:space="0" w:color="auto"/>
              <w:right w:val="single" w:sz="8" w:space="0" w:color="auto"/>
            </w:tcBorders>
            <w:shd w:val="clear" w:color="000000" w:fill="FFFFFF"/>
            <w:noWrap/>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205 409</w:t>
            </w:r>
          </w:p>
        </w:tc>
        <w:tc>
          <w:tcPr>
            <w:tcW w:w="822" w:type="pct"/>
            <w:tcBorders>
              <w:top w:val="nil"/>
              <w:left w:val="nil"/>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eastAsia="en-ZA"/>
              </w:rPr>
              <w:t>294 601</w:t>
            </w:r>
          </w:p>
        </w:tc>
        <w:tc>
          <w:tcPr>
            <w:tcW w:w="979" w:type="pct"/>
            <w:tcBorders>
              <w:top w:val="nil"/>
              <w:left w:val="nil"/>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-30</w:t>
            </w:r>
          </w:p>
        </w:tc>
      </w:tr>
      <w:tr w:rsidR="00695727" w:rsidRPr="008D3F62" w:rsidTr="00927493">
        <w:trPr>
          <w:trHeight w:val="57"/>
        </w:trPr>
        <w:tc>
          <w:tcPr>
            <w:tcW w:w="2377" w:type="pct"/>
            <w:tcBorders>
              <w:top w:val="nil"/>
              <w:left w:val="single" w:sz="8" w:space="0" w:color="auto"/>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rPr>
                <w:rFonts w:ascii="Tahoma" w:hAnsi="Tahoma" w:cs="Tahoma"/>
                <w:sz w:val="20"/>
                <w:szCs w:val="20"/>
                <w:lang w:val="en-ZA" w:eastAsia="en-ZA"/>
              </w:rPr>
            </w:pPr>
            <w:r w:rsidRPr="008D3F62">
              <w:rPr>
                <w:rFonts w:ascii="Tahoma" w:hAnsi="Tahoma" w:cs="Tahoma"/>
                <w:sz w:val="20"/>
                <w:szCs w:val="20"/>
                <w:lang w:val="en-ZA" w:eastAsia="en-ZA"/>
              </w:rPr>
              <w:t>Sesame</w:t>
            </w:r>
          </w:p>
        </w:tc>
        <w:tc>
          <w:tcPr>
            <w:tcW w:w="822" w:type="pct"/>
            <w:tcBorders>
              <w:top w:val="nil"/>
              <w:left w:val="nil"/>
              <w:bottom w:val="single" w:sz="8" w:space="0" w:color="auto"/>
              <w:right w:val="single" w:sz="8" w:space="0" w:color="auto"/>
            </w:tcBorders>
            <w:shd w:val="clear" w:color="auto" w:fill="B8CCE4" w:themeFill="accent1" w:themeFillTint="66"/>
            <w:noWrap/>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16 181</w:t>
            </w:r>
          </w:p>
        </w:tc>
        <w:tc>
          <w:tcPr>
            <w:tcW w:w="822" w:type="pct"/>
            <w:tcBorders>
              <w:top w:val="nil"/>
              <w:left w:val="nil"/>
              <w:bottom w:val="single" w:sz="8" w:space="0" w:color="auto"/>
              <w:right w:val="single" w:sz="8" w:space="0" w:color="auto"/>
            </w:tcBorders>
            <w:shd w:val="clear" w:color="auto" w:fill="B8CCE4" w:themeFill="accent1" w:themeFillTint="66"/>
            <w:noWrap/>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8 208</w:t>
            </w:r>
          </w:p>
        </w:tc>
        <w:tc>
          <w:tcPr>
            <w:tcW w:w="979" w:type="pct"/>
            <w:tcBorders>
              <w:top w:val="nil"/>
              <w:left w:val="nil"/>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97</w:t>
            </w:r>
          </w:p>
        </w:tc>
      </w:tr>
      <w:tr w:rsidR="00695727" w:rsidRPr="008D3F62" w:rsidTr="00927493">
        <w:trPr>
          <w:trHeight w:val="57"/>
        </w:trPr>
        <w:tc>
          <w:tcPr>
            <w:tcW w:w="2377" w:type="pct"/>
            <w:tcBorders>
              <w:top w:val="nil"/>
              <w:left w:val="single" w:sz="8" w:space="0" w:color="auto"/>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rPr>
                <w:rFonts w:ascii="Tahoma" w:hAnsi="Tahoma" w:cs="Tahoma"/>
                <w:sz w:val="20"/>
                <w:szCs w:val="20"/>
                <w:lang w:val="en-ZA" w:eastAsia="en-ZA"/>
              </w:rPr>
            </w:pPr>
            <w:r w:rsidRPr="008D3F62">
              <w:rPr>
                <w:rFonts w:ascii="Tahoma" w:hAnsi="Tahoma" w:cs="Tahoma"/>
                <w:sz w:val="20"/>
                <w:szCs w:val="20"/>
                <w:lang w:val="en-ZA" w:eastAsia="en-ZA"/>
              </w:rPr>
              <w:t>Sunflower</w:t>
            </w:r>
          </w:p>
        </w:tc>
        <w:tc>
          <w:tcPr>
            <w:tcW w:w="822" w:type="pct"/>
            <w:tcBorders>
              <w:top w:val="nil"/>
              <w:left w:val="nil"/>
              <w:bottom w:val="single" w:sz="8" w:space="0" w:color="auto"/>
              <w:right w:val="single" w:sz="8" w:space="0" w:color="auto"/>
            </w:tcBorders>
            <w:shd w:val="clear" w:color="000000" w:fill="FFFFFF"/>
            <w:noWrap/>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21 258</w:t>
            </w:r>
          </w:p>
        </w:tc>
        <w:tc>
          <w:tcPr>
            <w:tcW w:w="822" w:type="pct"/>
            <w:tcBorders>
              <w:top w:val="nil"/>
              <w:left w:val="nil"/>
              <w:bottom w:val="single" w:sz="8" w:space="0" w:color="auto"/>
              <w:right w:val="single" w:sz="8" w:space="0" w:color="auto"/>
            </w:tcBorders>
            <w:shd w:val="clear" w:color="000000" w:fill="FFFFFF"/>
            <w:noWrap/>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8 928</w:t>
            </w:r>
          </w:p>
        </w:tc>
        <w:tc>
          <w:tcPr>
            <w:tcW w:w="979" w:type="pct"/>
            <w:tcBorders>
              <w:top w:val="nil"/>
              <w:left w:val="nil"/>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138</w:t>
            </w:r>
          </w:p>
        </w:tc>
      </w:tr>
      <w:tr w:rsidR="00695727" w:rsidRPr="008D3F62" w:rsidTr="00927493">
        <w:trPr>
          <w:trHeight w:val="57"/>
        </w:trPr>
        <w:tc>
          <w:tcPr>
            <w:tcW w:w="2377" w:type="pct"/>
            <w:tcBorders>
              <w:top w:val="nil"/>
              <w:left w:val="single" w:sz="8" w:space="0" w:color="auto"/>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rPr>
                <w:rFonts w:ascii="Tahoma" w:hAnsi="Tahoma" w:cs="Tahoma"/>
                <w:sz w:val="20"/>
                <w:szCs w:val="20"/>
                <w:lang w:val="en-ZA" w:eastAsia="en-ZA"/>
              </w:rPr>
            </w:pPr>
            <w:r w:rsidRPr="008D3F62">
              <w:rPr>
                <w:rFonts w:ascii="Tahoma" w:hAnsi="Tahoma" w:cs="Tahoma"/>
                <w:sz w:val="20"/>
                <w:szCs w:val="20"/>
                <w:lang w:val="en-ZA" w:eastAsia="en-ZA"/>
              </w:rPr>
              <w:t>Round nut</w:t>
            </w:r>
          </w:p>
        </w:tc>
        <w:tc>
          <w:tcPr>
            <w:tcW w:w="822" w:type="pct"/>
            <w:tcBorders>
              <w:top w:val="nil"/>
              <w:left w:val="nil"/>
              <w:bottom w:val="single" w:sz="8" w:space="0" w:color="auto"/>
              <w:right w:val="single" w:sz="8" w:space="0" w:color="auto"/>
            </w:tcBorders>
            <w:shd w:val="clear" w:color="auto" w:fill="B8CCE4" w:themeFill="accent1" w:themeFillTint="66"/>
            <w:noWrap/>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100 668</w:t>
            </w:r>
          </w:p>
        </w:tc>
        <w:tc>
          <w:tcPr>
            <w:tcW w:w="822" w:type="pct"/>
            <w:tcBorders>
              <w:top w:val="nil"/>
              <w:left w:val="nil"/>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eastAsia="en-ZA"/>
              </w:rPr>
              <w:t>47 594</w:t>
            </w:r>
          </w:p>
        </w:tc>
        <w:tc>
          <w:tcPr>
            <w:tcW w:w="979" w:type="pct"/>
            <w:tcBorders>
              <w:top w:val="nil"/>
              <w:left w:val="nil"/>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112</w:t>
            </w:r>
          </w:p>
        </w:tc>
      </w:tr>
      <w:tr w:rsidR="00695727" w:rsidRPr="008D3F62" w:rsidTr="00927493">
        <w:trPr>
          <w:trHeight w:val="57"/>
        </w:trPr>
        <w:tc>
          <w:tcPr>
            <w:tcW w:w="2377" w:type="pct"/>
            <w:tcBorders>
              <w:top w:val="nil"/>
              <w:left w:val="single" w:sz="8" w:space="0" w:color="auto"/>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rPr>
                <w:rFonts w:ascii="Tahoma" w:hAnsi="Tahoma" w:cs="Tahoma"/>
                <w:sz w:val="20"/>
                <w:szCs w:val="20"/>
                <w:lang w:val="en-ZA" w:eastAsia="en-ZA"/>
              </w:rPr>
            </w:pPr>
            <w:r w:rsidRPr="008D3F62">
              <w:rPr>
                <w:rFonts w:ascii="Tahoma" w:hAnsi="Tahoma" w:cs="Tahoma"/>
                <w:sz w:val="20"/>
                <w:szCs w:val="20"/>
                <w:lang w:val="en-ZA" w:eastAsia="en-ZA"/>
              </w:rPr>
              <w:t>Cowpeas</w:t>
            </w:r>
          </w:p>
        </w:tc>
        <w:tc>
          <w:tcPr>
            <w:tcW w:w="822" w:type="pct"/>
            <w:tcBorders>
              <w:top w:val="nil"/>
              <w:left w:val="nil"/>
              <w:bottom w:val="single" w:sz="8" w:space="0" w:color="auto"/>
              <w:right w:val="single" w:sz="8" w:space="0" w:color="auto"/>
            </w:tcBorders>
            <w:shd w:val="clear" w:color="000000" w:fill="FFFFFF"/>
            <w:noWrap/>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525 172</w:t>
            </w:r>
          </w:p>
        </w:tc>
        <w:tc>
          <w:tcPr>
            <w:tcW w:w="822" w:type="pct"/>
            <w:tcBorders>
              <w:top w:val="nil"/>
              <w:left w:val="nil"/>
              <w:bottom w:val="single" w:sz="8" w:space="0" w:color="auto"/>
              <w:right w:val="single" w:sz="8" w:space="0" w:color="auto"/>
            </w:tcBorders>
            <w:shd w:val="clear" w:color="000000" w:fill="FFFFFF"/>
            <w:noWrap/>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705 801</w:t>
            </w:r>
          </w:p>
        </w:tc>
        <w:tc>
          <w:tcPr>
            <w:tcW w:w="979" w:type="pct"/>
            <w:tcBorders>
              <w:top w:val="nil"/>
              <w:left w:val="nil"/>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-26</w:t>
            </w:r>
          </w:p>
        </w:tc>
      </w:tr>
      <w:tr w:rsidR="00695727" w:rsidRPr="008D3F62" w:rsidTr="00927493">
        <w:trPr>
          <w:trHeight w:val="57"/>
        </w:trPr>
        <w:tc>
          <w:tcPr>
            <w:tcW w:w="2377" w:type="pct"/>
            <w:tcBorders>
              <w:top w:val="nil"/>
              <w:left w:val="single" w:sz="8" w:space="0" w:color="auto"/>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rPr>
                <w:rFonts w:ascii="Tahoma" w:hAnsi="Tahoma" w:cs="Tahoma"/>
                <w:sz w:val="20"/>
                <w:szCs w:val="20"/>
                <w:lang w:val="en-ZA" w:eastAsia="en-ZA"/>
              </w:rPr>
            </w:pPr>
            <w:r w:rsidRPr="008D3F62">
              <w:rPr>
                <w:rFonts w:ascii="Tahoma" w:hAnsi="Tahoma" w:cs="Tahoma"/>
                <w:sz w:val="20"/>
                <w:szCs w:val="20"/>
                <w:lang w:val="en-ZA" w:eastAsia="en-ZA"/>
              </w:rPr>
              <w:t>Sugar bean</w:t>
            </w:r>
          </w:p>
        </w:tc>
        <w:tc>
          <w:tcPr>
            <w:tcW w:w="822" w:type="pct"/>
            <w:tcBorders>
              <w:top w:val="nil"/>
              <w:left w:val="nil"/>
              <w:bottom w:val="single" w:sz="8" w:space="0" w:color="auto"/>
              <w:right w:val="single" w:sz="8" w:space="0" w:color="auto"/>
            </w:tcBorders>
            <w:shd w:val="clear" w:color="auto" w:fill="B8CCE4" w:themeFill="accent1" w:themeFillTint="66"/>
            <w:noWrap/>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27 025</w:t>
            </w:r>
          </w:p>
        </w:tc>
        <w:tc>
          <w:tcPr>
            <w:tcW w:w="822" w:type="pct"/>
            <w:tcBorders>
              <w:top w:val="nil"/>
              <w:left w:val="nil"/>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eastAsia="en-ZA"/>
              </w:rPr>
              <w:t>36 999</w:t>
            </w:r>
          </w:p>
        </w:tc>
        <w:tc>
          <w:tcPr>
            <w:tcW w:w="979" w:type="pct"/>
            <w:tcBorders>
              <w:top w:val="nil"/>
              <w:left w:val="nil"/>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-27</w:t>
            </w:r>
          </w:p>
        </w:tc>
      </w:tr>
      <w:tr w:rsidR="00695727" w:rsidRPr="008D3F62" w:rsidTr="00927493">
        <w:trPr>
          <w:trHeight w:val="57"/>
        </w:trPr>
        <w:tc>
          <w:tcPr>
            <w:tcW w:w="2377" w:type="pct"/>
            <w:tcBorders>
              <w:top w:val="nil"/>
              <w:left w:val="single" w:sz="8" w:space="0" w:color="auto"/>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rPr>
                <w:rFonts w:ascii="Tahoma" w:hAnsi="Tahoma" w:cs="Tahoma"/>
                <w:sz w:val="20"/>
                <w:szCs w:val="20"/>
                <w:lang w:val="en-ZA" w:eastAsia="en-ZA"/>
              </w:rPr>
            </w:pPr>
            <w:r w:rsidRPr="008D3F62">
              <w:rPr>
                <w:rFonts w:ascii="Tahoma" w:hAnsi="Tahoma" w:cs="Tahoma"/>
                <w:sz w:val="20"/>
                <w:szCs w:val="20"/>
                <w:lang w:val="en-ZA" w:eastAsia="en-ZA"/>
              </w:rPr>
              <w:t xml:space="preserve">Sweet potatoes </w:t>
            </w:r>
          </w:p>
        </w:tc>
        <w:tc>
          <w:tcPr>
            <w:tcW w:w="822" w:type="pct"/>
            <w:tcBorders>
              <w:top w:val="nil"/>
              <w:left w:val="nil"/>
              <w:bottom w:val="single" w:sz="8" w:space="0" w:color="auto"/>
              <w:right w:val="single" w:sz="8" w:space="0" w:color="auto"/>
            </w:tcBorders>
            <w:shd w:val="clear" w:color="auto" w:fill="auto"/>
            <w:noWrap/>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16106</w:t>
            </w:r>
          </w:p>
        </w:tc>
        <w:tc>
          <w:tcPr>
            <w:tcW w:w="822" w:type="pct"/>
            <w:tcBorders>
              <w:top w:val="nil"/>
              <w:left w:val="nil"/>
              <w:bottom w:val="single" w:sz="8" w:space="0" w:color="auto"/>
              <w:right w:val="single" w:sz="8" w:space="0" w:color="auto"/>
            </w:tcBorders>
            <w:shd w:val="clear" w:color="000000" w:fill="FFFFFF"/>
            <w:noWrap/>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37 871</w:t>
            </w:r>
          </w:p>
        </w:tc>
        <w:tc>
          <w:tcPr>
            <w:tcW w:w="979" w:type="pct"/>
            <w:tcBorders>
              <w:top w:val="nil"/>
              <w:left w:val="nil"/>
              <w:bottom w:val="single" w:sz="8" w:space="0" w:color="auto"/>
              <w:right w:val="single" w:sz="8" w:space="0" w:color="auto"/>
            </w:tcBorders>
            <w:shd w:val="clear" w:color="000000" w:fill="FFFFFF"/>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-57</w:t>
            </w:r>
          </w:p>
        </w:tc>
      </w:tr>
      <w:tr w:rsidR="00695727" w:rsidRPr="008D3F62" w:rsidTr="00927493">
        <w:trPr>
          <w:trHeight w:val="57"/>
        </w:trPr>
        <w:tc>
          <w:tcPr>
            <w:tcW w:w="2377" w:type="pct"/>
            <w:tcBorders>
              <w:top w:val="nil"/>
              <w:left w:val="single" w:sz="8" w:space="0" w:color="auto"/>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rPr>
                <w:rFonts w:ascii="Tahoma" w:hAnsi="Tahoma" w:cs="Tahoma"/>
                <w:sz w:val="20"/>
                <w:szCs w:val="20"/>
                <w:lang w:val="en-ZA" w:eastAsia="en-ZA"/>
              </w:rPr>
            </w:pPr>
            <w:r w:rsidRPr="008D3F62">
              <w:rPr>
                <w:rFonts w:ascii="Tahoma" w:hAnsi="Tahoma" w:cs="Tahoma"/>
                <w:sz w:val="20"/>
                <w:szCs w:val="20"/>
                <w:lang w:val="en-ZA" w:eastAsia="en-ZA"/>
              </w:rPr>
              <w:t xml:space="preserve">Cassava </w:t>
            </w:r>
          </w:p>
        </w:tc>
        <w:tc>
          <w:tcPr>
            <w:tcW w:w="822" w:type="pct"/>
            <w:tcBorders>
              <w:top w:val="nil"/>
              <w:left w:val="nil"/>
              <w:bottom w:val="single" w:sz="8" w:space="0" w:color="auto"/>
              <w:right w:val="single" w:sz="8" w:space="0" w:color="auto"/>
            </w:tcBorders>
            <w:shd w:val="clear" w:color="auto" w:fill="B8CCE4" w:themeFill="accent1" w:themeFillTint="66"/>
            <w:noWrap/>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584</w:t>
            </w:r>
          </w:p>
        </w:tc>
        <w:tc>
          <w:tcPr>
            <w:tcW w:w="822" w:type="pct"/>
            <w:tcBorders>
              <w:top w:val="nil"/>
              <w:left w:val="nil"/>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3 151</w:t>
            </w:r>
          </w:p>
        </w:tc>
        <w:tc>
          <w:tcPr>
            <w:tcW w:w="979" w:type="pct"/>
            <w:tcBorders>
              <w:top w:val="nil"/>
              <w:left w:val="nil"/>
              <w:bottom w:val="single" w:sz="8" w:space="0" w:color="auto"/>
              <w:right w:val="single" w:sz="8" w:space="0" w:color="auto"/>
            </w:tcBorders>
            <w:shd w:val="clear" w:color="auto" w:fill="B8CCE4" w:themeFill="accent1" w:themeFillTint="66"/>
            <w:vAlign w:val="center"/>
            <w:hideMark/>
          </w:tcPr>
          <w:p w:rsidR="00695727" w:rsidRPr="008D3F62" w:rsidRDefault="00695727" w:rsidP="00927493">
            <w:pPr>
              <w:spacing w:after="0" w:line="240" w:lineRule="auto"/>
              <w:jc w:val="right"/>
              <w:rPr>
                <w:rFonts w:ascii="Tahoma" w:hAnsi="Tahoma" w:cs="Tahoma"/>
                <w:sz w:val="20"/>
                <w:szCs w:val="20"/>
                <w:lang w:val="en-ZA" w:eastAsia="en-ZA"/>
              </w:rPr>
            </w:pPr>
            <w:r w:rsidRPr="008D3F62">
              <w:rPr>
                <w:rFonts w:ascii="Tahoma" w:hAnsi="Tahoma" w:cs="Tahoma"/>
                <w:sz w:val="20"/>
                <w:szCs w:val="20"/>
                <w:lang w:val="en-ZA" w:eastAsia="en-ZA"/>
              </w:rPr>
              <w:t>-81</w:t>
            </w:r>
          </w:p>
        </w:tc>
      </w:tr>
    </w:tbl>
    <w:p w:rsidR="00695727" w:rsidRPr="008D3F62" w:rsidRDefault="00695727" w:rsidP="00695727">
      <w:pPr>
        <w:spacing w:after="0" w:line="360" w:lineRule="auto"/>
        <w:ind w:left="360"/>
        <w:jc w:val="both"/>
        <w:rPr>
          <w:rFonts w:ascii="Tahoma" w:hAnsi="Tahoma" w:cs="Tahoma"/>
          <w:b/>
          <w:i/>
          <w:sz w:val="20"/>
          <w:szCs w:val="20"/>
        </w:rPr>
      </w:pPr>
      <w:r w:rsidRPr="008D3F62">
        <w:rPr>
          <w:rFonts w:ascii="Tahoma" w:hAnsi="Tahoma" w:cs="Tahoma"/>
          <w:b/>
          <w:i/>
          <w:sz w:val="20"/>
          <w:szCs w:val="20"/>
        </w:rPr>
        <w:t>Source: Ministry of Lands, Agriculture, Water, Climate and Rural Resettlement</w:t>
      </w:r>
    </w:p>
    <w:p w:rsidR="00695727" w:rsidRPr="00CD2B56" w:rsidRDefault="00695727" w:rsidP="00695727">
      <w:pPr>
        <w:spacing w:after="0" w:line="360" w:lineRule="auto"/>
        <w:ind w:left="360"/>
        <w:jc w:val="both"/>
        <w:rPr>
          <w:rFonts w:ascii="Tahoma" w:hAnsi="Tahoma" w:cs="Tahoma"/>
          <w:sz w:val="24"/>
          <w:szCs w:val="24"/>
        </w:rPr>
      </w:pPr>
    </w:p>
    <w:p w:rsidR="00695727" w:rsidRPr="00CD2B56" w:rsidRDefault="00695727" w:rsidP="00695727">
      <w:pPr>
        <w:pStyle w:val="ListParagraph"/>
        <w:numPr>
          <w:ilvl w:val="0"/>
          <w:numId w:val="1"/>
        </w:numPr>
        <w:spacing w:after="160" w:line="360" w:lineRule="auto"/>
        <w:ind w:left="567" w:hanging="567"/>
        <w:jc w:val="both"/>
        <w:rPr>
          <w:rFonts w:ascii="Tahoma" w:hAnsi="Tahoma" w:cs="Tahoma"/>
          <w:sz w:val="24"/>
          <w:szCs w:val="24"/>
        </w:rPr>
      </w:pPr>
      <w:r w:rsidRPr="00CD2B56">
        <w:rPr>
          <w:rFonts w:ascii="Tahoma" w:hAnsi="Tahoma" w:cs="Tahoma"/>
          <w:sz w:val="24"/>
          <w:szCs w:val="24"/>
        </w:rPr>
        <w:t>While the full impact of the drought and the recent cyclone Idai on crop and livestock production is not yet clear, agriculture production for 2018/19 agriculture season is expected to substantially decline.</w:t>
      </w:r>
    </w:p>
    <w:p w:rsidR="00695727" w:rsidRPr="00CD2B56" w:rsidRDefault="00695727" w:rsidP="00695727">
      <w:pPr>
        <w:spacing w:after="0" w:line="360" w:lineRule="auto"/>
        <w:ind w:left="360"/>
        <w:jc w:val="both"/>
        <w:rPr>
          <w:rFonts w:ascii="Tahoma" w:hAnsi="Tahoma" w:cs="Tahoma"/>
          <w:sz w:val="24"/>
          <w:szCs w:val="24"/>
        </w:rPr>
      </w:pPr>
    </w:p>
    <w:p w:rsidR="00695727" w:rsidRPr="00CD2B56" w:rsidRDefault="00695727" w:rsidP="00695727">
      <w:pPr>
        <w:pStyle w:val="ListParagraph"/>
        <w:numPr>
          <w:ilvl w:val="0"/>
          <w:numId w:val="1"/>
        </w:numPr>
        <w:spacing w:after="160" w:line="360" w:lineRule="auto"/>
        <w:ind w:left="567" w:hanging="567"/>
        <w:jc w:val="both"/>
        <w:rPr>
          <w:rFonts w:ascii="Tahoma" w:hAnsi="Tahoma" w:cs="Tahoma"/>
          <w:sz w:val="24"/>
          <w:szCs w:val="24"/>
        </w:rPr>
      </w:pPr>
      <w:r w:rsidRPr="00CD2B56">
        <w:rPr>
          <w:rFonts w:ascii="Tahoma" w:hAnsi="Tahoma" w:cs="Tahoma"/>
          <w:sz w:val="24"/>
          <w:szCs w:val="24"/>
        </w:rPr>
        <w:t>The final outturn for agriculture production is expected to be indicated in the ongoing Second Round Crop and Livestock survey.</w:t>
      </w:r>
    </w:p>
    <w:p w:rsidR="00695727" w:rsidRPr="00CD2B56" w:rsidRDefault="00695727" w:rsidP="00695727">
      <w:pPr>
        <w:spacing w:after="0" w:line="360" w:lineRule="auto"/>
        <w:ind w:left="360"/>
        <w:jc w:val="both"/>
        <w:rPr>
          <w:rFonts w:ascii="Tahoma" w:hAnsi="Tahoma" w:cs="Tahoma"/>
          <w:sz w:val="24"/>
          <w:szCs w:val="24"/>
        </w:rPr>
      </w:pPr>
    </w:p>
    <w:p w:rsidR="00695727" w:rsidRPr="00CD2B56" w:rsidRDefault="00695727" w:rsidP="006A0FC2">
      <w:pPr>
        <w:spacing w:after="0" w:line="360" w:lineRule="auto"/>
        <w:ind w:firstLine="567"/>
        <w:jc w:val="both"/>
        <w:rPr>
          <w:rFonts w:ascii="Tahoma" w:hAnsi="Tahoma" w:cs="Tahoma"/>
          <w:i/>
          <w:sz w:val="24"/>
          <w:szCs w:val="24"/>
        </w:rPr>
      </w:pPr>
      <w:r w:rsidRPr="00CD2B56">
        <w:rPr>
          <w:rFonts w:ascii="Tahoma" w:hAnsi="Tahoma" w:cs="Tahoma"/>
          <w:i/>
          <w:sz w:val="24"/>
          <w:szCs w:val="24"/>
        </w:rPr>
        <w:t>Grain Stocks</w:t>
      </w:r>
    </w:p>
    <w:p w:rsidR="00695727" w:rsidRPr="00CD2B56" w:rsidRDefault="00695727" w:rsidP="00695727">
      <w:pPr>
        <w:spacing w:after="0" w:line="360" w:lineRule="auto"/>
        <w:ind w:left="360"/>
        <w:jc w:val="both"/>
        <w:rPr>
          <w:rFonts w:ascii="Tahoma" w:hAnsi="Tahoma" w:cs="Tahoma"/>
          <w:sz w:val="24"/>
          <w:szCs w:val="24"/>
        </w:rPr>
      </w:pPr>
    </w:p>
    <w:p w:rsidR="00695727" w:rsidRPr="00CD2B56" w:rsidRDefault="00695727" w:rsidP="00695727">
      <w:pPr>
        <w:pStyle w:val="ListParagraph"/>
        <w:numPr>
          <w:ilvl w:val="0"/>
          <w:numId w:val="1"/>
        </w:numPr>
        <w:spacing w:after="160" w:line="360" w:lineRule="auto"/>
        <w:ind w:left="567" w:hanging="567"/>
        <w:jc w:val="both"/>
        <w:rPr>
          <w:rFonts w:ascii="Tahoma" w:hAnsi="Tahoma" w:cs="Tahoma"/>
          <w:sz w:val="24"/>
          <w:szCs w:val="24"/>
        </w:rPr>
      </w:pPr>
      <w:r w:rsidRPr="00CD2B56">
        <w:rPr>
          <w:rFonts w:ascii="Tahoma" w:hAnsi="Tahoma" w:cs="Tahoma"/>
          <w:sz w:val="24"/>
          <w:szCs w:val="24"/>
        </w:rPr>
        <w:t xml:space="preserve">Grain stocks at GMB stood at 876 000 tons as at the end of </w:t>
      </w:r>
      <w:r w:rsidRPr="00A266D2">
        <w:rPr>
          <w:rFonts w:ascii="Tahoma" w:hAnsi="Tahoma" w:cs="Tahoma"/>
          <w:sz w:val="24"/>
          <w:szCs w:val="24"/>
        </w:rPr>
        <w:t>March 201</w:t>
      </w:r>
      <w:r w:rsidR="00A87AEC" w:rsidRPr="00A266D2">
        <w:rPr>
          <w:rFonts w:ascii="Tahoma" w:hAnsi="Tahoma" w:cs="Tahoma"/>
          <w:sz w:val="24"/>
          <w:szCs w:val="24"/>
        </w:rPr>
        <w:t>9</w:t>
      </w:r>
      <w:r w:rsidRPr="00CD2B56">
        <w:rPr>
          <w:rFonts w:ascii="Tahoma" w:hAnsi="Tahoma" w:cs="Tahoma"/>
          <w:sz w:val="24"/>
          <w:szCs w:val="24"/>
        </w:rPr>
        <w:t xml:space="preserve">, comprised of 776 000 tons of maize and 100 000 tons of small grains. </w:t>
      </w:r>
    </w:p>
    <w:p w:rsidR="00695727" w:rsidRPr="00A266D2" w:rsidRDefault="00695727" w:rsidP="00695727">
      <w:pPr>
        <w:spacing w:after="0" w:line="360" w:lineRule="auto"/>
        <w:ind w:left="360"/>
        <w:jc w:val="both"/>
        <w:rPr>
          <w:rFonts w:ascii="Tahoma" w:eastAsia="Calibri" w:hAnsi="Tahoma" w:cs="Tahoma"/>
          <w:sz w:val="24"/>
          <w:szCs w:val="24"/>
          <w:lang w:val="en-ZW"/>
        </w:rPr>
      </w:pPr>
    </w:p>
    <w:tbl>
      <w:tblPr>
        <w:tblW w:w="845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004"/>
        <w:gridCol w:w="2111"/>
        <w:gridCol w:w="1791"/>
      </w:tblGrid>
      <w:tr w:rsidR="00695727" w:rsidRPr="00CD2B56" w:rsidTr="00927493">
        <w:trPr>
          <w:trHeight w:val="315"/>
        </w:trPr>
        <w:tc>
          <w:tcPr>
            <w:tcW w:w="2547" w:type="dxa"/>
            <w:shd w:val="clear" w:color="auto" w:fill="4F81BD" w:themeFill="accent1"/>
            <w:noWrap/>
            <w:vAlign w:val="bottom"/>
            <w:hideMark/>
          </w:tcPr>
          <w:p w:rsidR="00695727" w:rsidRPr="00CD2B56" w:rsidRDefault="00695727" w:rsidP="00927493">
            <w:pPr>
              <w:spacing w:after="0" w:line="240" w:lineRule="auto"/>
              <w:rPr>
                <w:rFonts w:ascii="Tahoma" w:eastAsia="Times New Roman" w:hAnsi="Tahoma" w:cs="Tahoma"/>
                <w:color w:val="FFFFFF" w:themeColor="background1"/>
                <w:sz w:val="24"/>
                <w:szCs w:val="24"/>
                <w:lang w:val="en-ZW" w:eastAsia="en-ZW"/>
              </w:rPr>
            </w:pPr>
          </w:p>
        </w:tc>
        <w:tc>
          <w:tcPr>
            <w:tcW w:w="2004" w:type="dxa"/>
            <w:shd w:val="clear" w:color="auto" w:fill="4F81BD" w:themeFill="accent1"/>
            <w:noWrap/>
            <w:vAlign w:val="bottom"/>
            <w:hideMark/>
          </w:tcPr>
          <w:p w:rsidR="00695727" w:rsidRPr="00CD2B56" w:rsidRDefault="00695727" w:rsidP="00927493">
            <w:pPr>
              <w:spacing w:after="0" w:line="240" w:lineRule="auto"/>
              <w:rPr>
                <w:rFonts w:ascii="Tahoma" w:eastAsia="Times New Roman" w:hAnsi="Tahoma" w:cs="Tahoma"/>
                <w:b/>
                <w:bCs/>
                <w:color w:val="FFFFFF" w:themeColor="background1"/>
                <w:sz w:val="24"/>
                <w:szCs w:val="24"/>
                <w:lang w:val="en-ZW" w:eastAsia="en-ZW"/>
              </w:rPr>
            </w:pPr>
            <w:r w:rsidRPr="00CD2B56">
              <w:rPr>
                <w:rFonts w:ascii="Tahoma" w:eastAsia="Times New Roman" w:hAnsi="Tahoma" w:cs="Tahoma"/>
                <w:b/>
                <w:bCs/>
                <w:color w:val="FFFFFF" w:themeColor="background1"/>
                <w:sz w:val="24"/>
                <w:szCs w:val="24"/>
                <w:lang w:val="en-ZW" w:eastAsia="en-ZW"/>
              </w:rPr>
              <w:t xml:space="preserve"> January 2019 </w:t>
            </w:r>
          </w:p>
        </w:tc>
        <w:tc>
          <w:tcPr>
            <w:tcW w:w="2111" w:type="dxa"/>
            <w:shd w:val="clear" w:color="auto" w:fill="4F81BD" w:themeFill="accent1"/>
            <w:noWrap/>
            <w:vAlign w:val="bottom"/>
            <w:hideMark/>
          </w:tcPr>
          <w:p w:rsidR="00695727" w:rsidRPr="00CD2B56" w:rsidRDefault="00695727" w:rsidP="00927493">
            <w:pPr>
              <w:spacing w:after="0" w:line="240" w:lineRule="auto"/>
              <w:rPr>
                <w:rFonts w:ascii="Tahoma" w:eastAsia="Times New Roman" w:hAnsi="Tahoma" w:cs="Tahoma"/>
                <w:b/>
                <w:bCs/>
                <w:color w:val="FFFFFF" w:themeColor="background1"/>
                <w:sz w:val="24"/>
                <w:szCs w:val="24"/>
                <w:lang w:val="en-ZW" w:eastAsia="en-ZW"/>
              </w:rPr>
            </w:pPr>
            <w:r w:rsidRPr="00CD2B56">
              <w:rPr>
                <w:rFonts w:ascii="Tahoma" w:eastAsia="Times New Roman" w:hAnsi="Tahoma" w:cs="Tahoma"/>
                <w:b/>
                <w:bCs/>
                <w:color w:val="FFFFFF" w:themeColor="background1"/>
                <w:sz w:val="24"/>
                <w:szCs w:val="24"/>
                <w:lang w:val="en-ZW" w:eastAsia="en-ZW"/>
              </w:rPr>
              <w:t xml:space="preserve"> February 2019 </w:t>
            </w:r>
          </w:p>
        </w:tc>
        <w:tc>
          <w:tcPr>
            <w:tcW w:w="1791" w:type="dxa"/>
            <w:shd w:val="clear" w:color="auto" w:fill="4F81BD" w:themeFill="accent1"/>
            <w:noWrap/>
            <w:vAlign w:val="bottom"/>
            <w:hideMark/>
          </w:tcPr>
          <w:p w:rsidR="00695727" w:rsidRPr="00CD2B56" w:rsidRDefault="00695727" w:rsidP="00927493">
            <w:pPr>
              <w:spacing w:after="0" w:line="240" w:lineRule="auto"/>
              <w:rPr>
                <w:rFonts w:ascii="Tahoma" w:eastAsia="Times New Roman" w:hAnsi="Tahoma" w:cs="Tahoma"/>
                <w:b/>
                <w:bCs/>
                <w:color w:val="FFFFFF" w:themeColor="background1"/>
                <w:sz w:val="24"/>
                <w:szCs w:val="24"/>
                <w:lang w:val="en-ZW" w:eastAsia="en-ZW"/>
              </w:rPr>
            </w:pPr>
            <w:r w:rsidRPr="00CD2B56">
              <w:rPr>
                <w:rFonts w:ascii="Tahoma" w:eastAsia="Times New Roman" w:hAnsi="Tahoma" w:cs="Tahoma"/>
                <w:b/>
                <w:bCs/>
                <w:color w:val="FFFFFF" w:themeColor="background1"/>
                <w:sz w:val="24"/>
                <w:szCs w:val="24"/>
                <w:lang w:val="en-ZW" w:eastAsia="en-ZW"/>
              </w:rPr>
              <w:t xml:space="preserve"> March 2019 </w:t>
            </w:r>
          </w:p>
        </w:tc>
      </w:tr>
      <w:tr w:rsidR="00695727" w:rsidRPr="00CD2B56" w:rsidTr="00927493">
        <w:trPr>
          <w:trHeight w:val="300"/>
        </w:trPr>
        <w:tc>
          <w:tcPr>
            <w:tcW w:w="2547" w:type="dxa"/>
            <w:shd w:val="clear" w:color="auto" w:fill="auto"/>
            <w:noWrap/>
            <w:vAlign w:val="bottom"/>
            <w:hideMark/>
          </w:tcPr>
          <w:p w:rsidR="00695727" w:rsidRPr="00CD2B56" w:rsidRDefault="00695727" w:rsidP="00927493">
            <w:pPr>
              <w:spacing w:after="0" w:line="240" w:lineRule="auto"/>
              <w:rPr>
                <w:rFonts w:ascii="Tahoma" w:eastAsia="Times New Roman" w:hAnsi="Tahoma" w:cs="Tahoma"/>
                <w:color w:val="000000"/>
                <w:sz w:val="24"/>
                <w:szCs w:val="24"/>
                <w:lang w:val="en-ZW" w:eastAsia="en-ZW"/>
              </w:rPr>
            </w:pPr>
            <w:r w:rsidRPr="00CD2B56">
              <w:rPr>
                <w:rFonts w:ascii="Tahoma" w:eastAsia="Times New Roman" w:hAnsi="Tahoma" w:cs="Tahoma"/>
                <w:color w:val="000000"/>
                <w:sz w:val="24"/>
                <w:szCs w:val="24"/>
                <w:lang w:val="en-ZW" w:eastAsia="en-ZW"/>
              </w:rPr>
              <w:t>Maize</w:t>
            </w:r>
            <w:r w:rsidR="00A266D2">
              <w:rPr>
                <w:rFonts w:ascii="Tahoma" w:eastAsia="Times New Roman" w:hAnsi="Tahoma" w:cs="Tahoma"/>
                <w:color w:val="000000"/>
                <w:sz w:val="24"/>
                <w:szCs w:val="24"/>
                <w:lang w:val="en-ZW" w:eastAsia="en-ZW"/>
              </w:rPr>
              <w:t xml:space="preserve"> (tons)</w:t>
            </w:r>
          </w:p>
        </w:tc>
        <w:tc>
          <w:tcPr>
            <w:tcW w:w="2004" w:type="dxa"/>
            <w:shd w:val="clear" w:color="auto" w:fill="auto"/>
            <w:noWrap/>
            <w:vAlign w:val="bottom"/>
            <w:hideMark/>
          </w:tcPr>
          <w:p w:rsidR="00695727" w:rsidRPr="00CD2B56" w:rsidRDefault="00695727" w:rsidP="00927493">
            <w:pPr>
              <w:spacing w:after="0" w:line="240" w:lineRule="auto"/>
              <w:jc w:val="center"/>
              <w:rPr>
                <w:rFonts w:ascii="Tahoma" w:eastAsia="Times New Roman" w:hAnsi="Tahoma" w:cs="Tahoma"/>
                <w:color w:val="000000"/>
                <w:sz w:val="24"/>
                <w:szCs w:val="24"/>
                <w:lang w:val="en-ZW" w:eastAsia="en-ZW"/>
              </w:rPr>
            </w:pPr>
            <w:r w:rsidRPr="00CD2B56">
              <w:rPr>
                <w:rFonts w:ascii="Tahoma" w:eastAsia="Times New Roman" w:hAnsi="Tahoma" w:cs="Tahoma"/>
                <w:color w:val="000000"/>
                <w:sz w:val="24"/>
                <w:szCs w:val="24"/>
                <w:lang w:val="en-ZW" w:eastAsia="en-ZW"/>
              </w:rPr>
              <w:t>1,035,474</w:t>
            </w:r>
          </w:p>
        </w:tc>
        <w:tc>
          <w:tcPr>
            <w:tcW w:w="2111" w:type="dxa"/>
            <w:shd w:val="clear" w:color="auto" w:fill="auto"/>
            <w:noWrap/>
            <w:vAlign w:val="bottom"/>
            <w:hideMark/>
          </w:tcPr>
          <w:p w:rsidR="00695727" w:rsidRPr="00CD2B56" w:rsidRDefault="00695727" w:rsidP="00927493">
            <w:pPr>
              <w:spacing w:after="0" w:line="240" w:lineRule="auto"/>
              <w:jc w:val="center"/>
              <w:rPr>
                <w:rFonts w:ascii="Tahoma" w:eastAsia="Times New Roman" w:hAnsi="Tahoma" w:cs="Tahoma"/>
                <w:color w:val="000000"/>
                <w:sz w:val="24"/>
                <w:szCs w:val="24"/>
                <w:lang w:val="en-ZW" w:eastAsia="en-ZW"/>
              </w:rPr>
            </w:pPr>
            <w:r w:rsidRPr="00CD2B56">
              <w:rPr>
                <w:rFonts w:ascii="Tahoma" w:eastAsia="Times New Roman" w:hAnsi="Tahoma" w:cs="Tahoma"/>
                <w:color w:val="000000"/>
                <w:sz w:val="24"/>
                <w:szCs w:val="24"/>
                <w:lang w:val="en-ZW" w:eastAsia="en-ZW"/>
              </w:rPr>
              <w:t>861,854</w:t>
            </w:r>
          </w:p>
        </w:tc>
        <w:tc>
          <w:tcPr>
            <w:tcW w:w="1791" w:type="dxa"/>
            <w:shd w:val="clear" w:color="auto" w:fill="auto"/>
            <w:noWrap/>
            <w:vAlign w:val="bottom"/>
            <w:hideMark/>
          </w:tcPr>
          <w:p w:rsidR="00695727" w:rsidRPr="00CD2B56" w:rsidRDefault="00695727" w:rsidP="00927493">
            <w:pPr>
              <w:spacing w:after="0" w:line="240" w:lineRule="auto"/>
              <w:jc w:val="center"/>
              <w:rPr>
                <w:rFonts w:ascii="Tahoma" w:eastAsia="Times New Roman" w:hAnsi="Tahoma" w:cs="Tahoma"/>
                <w:color w:val="000000"/>
                <w:sz w:val="24"/>
                <w:szCs w:val="24"/>
                <w:lang w:val="en-ZW" w:eastAsia="en-ZW"/>
              </w:rPr>
            </w:pPr>
            <w:r w:rsidRPr="00CD2B56">
              <w:rPr>
                <w:rFonts w:ascii="Tahoma" w:eastAsia="Times New Roman" w:hAnsi="Tahoma" w:cs="Tahoma"/>
                <w:color w:val="000000"/>
                <w:sz w:val="24"/>
                <w:szCs w:val="24"/>
                <w:lang w:val="en-ZW" w:eastAsia="en-ZW"/>
              </w:rPr>
              <w:t>776,040</w:t>
            </w:r>
          </w:p>
        </w:tc>
      </w:tr>
      <w:tr w:rsidR="00695727" w:rsidRPr="00CD2B56" w:rsidTr="00927493">
        <w:trPr>
          <w:trHeight w:val="300"/>
        </w:trPr>
        <w:tc>
          <w:tcPr>
            <w:tcW w:w="2547" w:type="dxa"/>
            <w:shd w:val="clear" w:color="auto" w:fill="B8CCE4" w:themeFill="accent1" w:themeFillTint="66"/>
            <w:noWrap/>
            <w:vAlign w:val="bottom"/>
            <w:hideMark/>
          </w:tcPr>
          <w:p w:rsidR="00695727" w:rsidRPr="00CD2B56" w:rsidRDefault="00695727" w:rsidP="00927493">
            <w:pPr>
              <w:spacing w:after="0" w:line="240" w:lineRule="auto"/>
              <w:rPr>
                <w:rFonts w:ascii="Tahoma" w:eastAsia="Times New Roman" w:hAnsi="Tahoma" w:cs="Tahoma"/>
                <w:color w:val="000000"/>
                <w:sz w:val="24"/>
                <w:szCs w:val="24"/>
                <w:lang w:val="en-ZW" w:eastAsia="en-ZW"/>
              </w:rPr>
            </w:pPr>
            <w:r w:rsidRPr="00CD2B56">
              <w:rPr>
                <w:rFonts w:ascii="Tahoma" w:eastAsia="Times New Roman" w:hAnsi="Tahoma" w:cs="Tahoma"/>
                <w:color w:val="000000"/>
                <w:sz w:val="24"/>
                <w:szCs w:val="24"/>
                <w:lang w:val="en-ZW" w:eastAsia="en-ZW"/>
              </w:rPr>
              <w:t>Small Grains</w:t>
            </w:r>
            <w:r w:rsidR="00A266D2">
              <w:rPr>
                <w:rFonts w:ascii="Tahoma" w:eastAsia="Times New Roman" w:hAnsi="Tahoma" w:cs="Tahoma"/>
                <w:color w:val="000000"/>
                <w:sz w:val="24"/>
                <w:szCs w:val="24"/>
                <w:lang w:val="en-ZW" w:eastAsia="en-ZW"/>
              </w:rPr>
              <w:t xml:space="preserve"> (tons)</w:t>
            </w:r>
          </w:p>
        </w:tc>
        <w:tc>
          <w:tcPr>
            <w:tcW w:w="2004" w:type="dxa"/>
            <w:shd w:val="clear" w:color="auto" w:fill="B8CCE4" w:themeFill="accent1" w:themeFillTint="66"/>
            <w:noWrap/>
            <w:vAlign w:val="bottom"/>
            <w:hideMark/>
          </w:tcPr>
          <w:p w:rsidR="00695727" w:rsidRPr="00CD2B56" w:rsidRDefault="00695727" w:rsidP="00927493">
            <w:pPr>
              <w:spacing w:after="0" w:line="240" w:lineRule="auto"/>
              <w:jc w:val="center"/>
              <w:rPr>
                <w:rFonts w:ascii="Tahoma" w:eastAsia="Times New Roman" w:hAnsi="Tahoma" w:cs="Tahoma"/>
                <w:color w:val="000000"/>
                <w:sz w:val="24"/>
                <w:szCs w:val="24"/>
                <w:lang w:val="en-ZW" w:eastAsia="en-ZW"/>
              </w:rPr>
            </w:pPr>
            <w:r w:rsidRPr="00CD2B56">
              <w:rPr>
                <w:rFonts w:ascii="Tahoma" w:eastAsia="Times New Roman" w:hAnsi="Tahoma" w:cs="Tahoma"/>
                <w:color w:val="000000"/>
                <w:sz w:val="24"/>
                <w:szCs w:val="24"/>
                <w:lang w:val="en-ZW" w:eastAsia="en-ZW"/>
              </w:rPr>
              <w:t>105,881</w:t>
            </w:r>
          </w:p>
        </w:tc>
        <w:tc>
          <w:tcPr>
            <w:tcW w:w="2111" w:type="dxa"/>
            <w:shd w:val="clear" w:color="auto" w:fill="B8CCE4" w:themeFill="accent1" w:themeFillTint="66"/>
            <w:noWrap/>
            <w:vAlign w:val="bottom"/>
            <w:hideMark/>
          </w:tcPr>
          <w:p w:rsidR="00695727" w:rsidRPr="00CD2B56" w:rsidRDefault="00695727" w:rsidP="00927493">
            <w:pPr>
              <w:spacing w:after="0" w:line="240" w:lineRule="auto"/>
              <w:jc w:val="center"/>
              <w:rPr>
                <w:rFonts w:ascii="Tahoma" w:eastAsia="Times New Roman" w:hAnsi="Tahoma" w:cs="Tahoma"/>
                <w:color w:val="000000"/>
                <w:sz w:val="24"/>
                <w:szCs w:val="24"/>
                <w:lang w:val="en-ZW" w:eastAsia="en-ZW"/>
              </w:rPr>
            </w:pPr>
            <w:r w:rsidRPr="00CD2B56">
              <w:rPr>
                <w:rFonts w:ascii="Tahoma" w:eastAsia="Times New Roman" w:hAnsi="Tahoma" w:cs="Tahoma"/>
                <w:color w:val="000000"/>
                <w:sz w:val="24"/>
                <w:szCs w:val="24"/>
                <w:lang w:val="en-ZW" w:eastAsia="en-ZW"/>
              </w:rPr>
              <w:t>101,978</w:t>
            </w:r>
          </w:p>
        </w:tc>
        <w:tc>
          <w:tcPr>
            <w:tcW w:w="1791" w:type="dxa"/>
            <w:shd w:val="clear" w:color="auto" w:fill="B8CCE4" w:themeFill="accent1" w:themeFillTint="66"/>
            <w:noWrap/>
            <w:vAlign w:val="bottom"/>
            <w:hideMark/>
          </w:tcPr>
          <w:p w:rsidR="00695727" w:rsidRPr="00CD2B56" w:rsidRDefault="00695727" w:rsidP="00927493">
            <w:pPr>
              <w:spacing w:after="0" w:line="240" w:lineRule="auto"/>
              <w:jc w:val="center"/>
              <w:rPr>
                <w:rFonts w:ascii="Tahoma" w:eastAsia="Times New Roman" w:hAnsi="Tahoma" w:cs="Tahoma"/>
                <w:color w:val="000000"/>
                <w:sz w:val="24"/>
                <w:szCs w:val="24"/>
                <w:lang w:val="en-ZW" w:eastAsia="en-ZW"/>
              </w:rPr>
            </w:pPr>
            <w:r w:rsidRPr="00CD2B56">
              <w:rPr>
                <w:rFonts w:ascii="Tahoma" w:eastAsia="Times New Roman" w:hAnsi="Tahoma" w:cs="Tahoma"/>
                <w:color w:val="000000"/>
                <w:sz w:val="24"/>
                <w:szCs w:val="24"/>
                <w:lang w:val="en-ZW" w:eastAsia="en-ZW"/>
              </w:rPr>
              <w:t>100,456</w:t>
            </w:r>
          </w:p>
        </w:tc>
      </w:tr>
      <w:tr w:rsidR="00695727" w:rsidRPr="00CD2B56" w:rsidTr="00927493">
        <w:trPr>
          <w:trHeight w:val="300"/>
        </w:trPr>
        <w:tc>
          <w:tcPr>
            <w:tcW w:w="2547" w:type="dxa"/>
            <w:shd w:val="clear" w:color="auto" w:fill="auto"/>
            <w:noWrap/>
            <w:vAlign w:val="bottom"/>
            <w:hideMark/>
          </w:tcPr>
          <w:p w:rsidR="00695727" w:rsidRPr="00CD2B56" w:rsidRDefault="00695727" w:rsidP="00927493">
            <w:pPr>
              <w:spacing w:after="0" w:line="240" w:lineRule="auto"/>
              <w:rPr>
                <w:rFonts w:ascii="Tahoma" w:eastAsia="Times New Roman" w:hAnsi="Tahoma" w:cs="Tahoma"/>
                <w:b/>
                <w:color w:val="000000"/>
                <w:sz w:val="24"/>
                <w:szCs w:val="24"/>
                <w:lang w:val="en-ZW" w:eastAsia="en-ZW"/>
              </w:rPr>
            </w:pPr>
            <w:r w:rsidRPr="00CD2B56">
              <w:rPr>
                <w:rFonts w:ascii="Tahoma" w:eastAsia="Times New Roman" w:hAnsi="Tahoma" w:cs="Tahoma"/>
                <w:b/>
                <w:color w:val="000000"/>
                <w:sz w:val="24"/>
                <w:szCs w:val="24"/>
                <w:lang w:val="en-ZW" w:eastAsia="en-ZW"/>
              </w:rPr>
              <w:t>Total Grains</w:t>
            </w:r>
          </w:p>
        </w:tc>
        <w:tc>
          <w:tcPr>
            <w:tcW w:w="2004" w:type="dxa"/>
            <w:shd w:val="clear" w:color="auto" w:fill="auto"/>
            <w:noWrap/>
            <w:vAlign w:val="bottom"/>
            <w:hideMark/>
          </w:tcPr>
          <w:p w:rsidR="00695727" w:rsidRPr="00CD2B56" w:rsidRDefault="00695727" w:rsidP="00927493">
            <w:pPr>
              <w:spacing w:after="0" w:line="240" w:lineRule="auto"/>
              <w:jc w:val="center"/>
              <w:rPr>
                <w:rFonts w:ascii="Tahoma" w:eastAsia="Times New Roman" w:hAnsi="Tahoma" w:cs="Tahoma"/>
                <w:b/>
                <w:color w:val="000000"/>
                <w:sz w:val="24"/>
                <w:szCs w:val="24"/>
                <w:lang w:val="en-ZW" w:eastAsia="en-ZW"/>
              </w:rPr>
            </w:pPr>
            <w:r w:rsidRPr="00CD2B56">
              <w:rPr>
                <w:rFonts w:ascii="Tahoma" w:eastAsia="Times New Roman" w:hAnsi="Tahoma" w:cs="Tahoma"/>
                <w:b/>
                <w:color w:val="000000"/>
                <w:sz w:val="24"/>
                <w:szCs w:val="24"/>
                <w:lang w:val="en-ZW" w:eastAsia="en-ZW"/>
              </w:rPr>
              <w:t>1,141,354</w:t>
            </w:r>
          </w:p>
        </w:tc>
        <w:tc>
          <w:tcPr>
            <w:tcW w:w="2111" w:type="dxa"/>
            <w:shd w:val="clear" w:color="auto" w:fill="auto"/>
            <w:noWrap/>
            <w:vAlign w:val="bottom"/>
            <w:hideMark/>
          </w:tcPr>
          <w:p w:rsidR="00695727" w:rsidRPr="00CD2B56" w:rsidRDefault="00695727" w:rsidP="00927493">
            <w:pPr>
              <w:spacing w:after="0" w:line="240" w:lineRule="auto"/>
              <w:jc w:val="center"/>
              <w:rPr>
                <w:rFonts w:ascii="Tahoma" w:eastAsia="Times New Roman" w:hAnsi="Tahoma" w:cs="Tahoma"/>
                <w:b/>
                <w:color w:val="000000"/>
                <w:sz w:val="24"/>
                <w:szCs w:val="24"/>
                <w:lang w:val="en-ZW" w:eastAsia="en-ZW"/>
              </w:rPr>
            </w:pPr>
            <w:r w:rsidRPr="00CD2B56">
              <w:rPr>
                <w:rFonts w:ascii="Tahoma" w:eastAsia="Times New Roman" w:hAnsi="Tahoma" w:cs="Tahoma"/>
                <w:b/>
                <w:color w:val="000000"/>
                <w:sz w:val="24"/>
                <w:szCs w:val="24"/>
                <w:lang w:val="en-ZW" w:eastAsia="en-ZW"/>
              </w:rPr>
              <w:t>963,832</w:t>
            </w:r>
          </w:p>
        </w:tc>
        <w:tc>
          <w:tcPr>
            <w:tcW w:w="1791" w:type="dxa"/>
            <w:shd w:val="clear" w:color="auto" w:fill="auto"/>
            <w:noWrap/>
            <w:vAlign w:val="bottom"/>
            <w:hideMark/>
          </w:tcPr>
          <w:p w:rsidR="00695727" w:rsidRPr="00CD2B56" w:rsidRDefault="00695727" w:rsidP="00927493">
            <w:pPr>
              <w:spacing w:after="0" w:line="240" w:lineRule="auto"/>
              <w:jc w:val="center"/>
              <w:rPr>
                <w:rFonts w:ascii="Tahoma" w:eastAsia="Times New Roman" w:hAnsi="Tahoma" w:cs="Tahoma"/>
                <w:b/>
                <w:color w:val="000000"/>
                <w:sz w:val="24"/>
                <w:szCs w:val="24"/>
                <w:lang w:val="en-ZW" w:eastAsia="en-ZW"/>
              </w:rPr>
            </w:pPr>
            <w:r w:rsidRPr="00CD2B56">
              <w:rPr>
                <w:rFonts w:ascii="Tahoma" w:eastAsia="Times New Roman" w:hAnsi="Tahoma" w:cs="Tahoma"/>
                <w:b/>
                <w:color w:val="000000"/>
                <w:sz w:val="24"/>
                <w:szCs w:val="24"/>
                <w:lang w:val="en-ZW" w:eastAsia="en-ZW"/>
              </w:rPr>
              <w:t>876,496</w:t>
            </w:r>
          </w:p>
        </w:tc>
      </w:tr>
    </w:tbl>
    <w:p w:rsidR="00695727" w:rsidRPr="00CD2B56" w:rsidRDefault="00695727" w:rsidP="00695727">
      <w:pPr>
        <w:spacing w:after="0" w:line="360" w:lineRule="auto"/>
        <w:ind w:left="360"/>
        <w:jc w:val="both"/>
        <w:rPr>
          <w:rFonts w:ascii="Tahoma" w:hAnsi="Tahoma" w:cs="Tahoma"/>
          <w:sz w:val="24"/>
          <w:szCs w:val="24"/>
        </w:rPr>
      </w:pPr>
    </w:p>
    <w:p w:rsidR="00695727" w:rsidRDefault="00695727" w:rsidP="00695727">
      <w:pPr>
        <w:pStyle w:val="ListParagraph"/>
        <w:numPr>
          <w:ilvl w:val="0"/>
          <w:numId w:val="1"/>
        </w:numPr>
        <w:spacing w:after="160" w:line="360" w:lineRule="auto"/>
        <w:ind w:left="567" w:hanging="567"/>
        <w:jc w:val="both"/>
        <w:rPr>
          <w:rFonts w:ascii="Tahoma" w:hAnsi="Tahoma" w:cs="Tahoma"/>
          <w:sz w:val="24"/>
          <w:szCs w:val="24"/>
        </w:rPr>
      </w:pPr>
      <w:r w:rsidRPr="00CD2B56">
        <w:rPr>
          <w:rFonts w:ascii="Tahoma" w:hAnsi="Tahoma" w:cs="Tahoma"/>
          <w:sz w:val="24"/>
          <w:szCs w:val="24"/>
        </w:rPr>
        <w:t>The stocks are adequate for human consumption for the next 7 month</w:t>
      </w:r>
      <w:r w:rsidR="00A87AEC" w:rsidRPr="00A266D2">
        <w:rPr>
          <w:rFonts w:ascii="Tahoma" w:hAnsi="Tahoma" w:cs="Tahoma"/>
          <w:sz w:val="24"/>
          <w:szCs w:val="24"/>
        </w:rPr>
        <w:t>s</w:t>
      </w:r>
      <w:r w:rsidRPr="00CD2B56">
        <w:rPr>
          <w:rFonts w:ascii="Tahoma" w:hAnsi="Tahoma" w:cs="Tahoma"/>
          <w:sz w:val="24"/>
          <w:szCs w:val="24"/>
        </w:rPr>
        <w:t>. However, in view of the current drought, importation is inevitable before the next harvest.</w:t>
      </w:r>
    </w:p>
    <w:p w:rsidR="00794976" w:rsidRDefault="00794976" w:rsidP="00794976">
      <w:pPr>
        <w:pStyle w:val="ListParagraph"/>
        <w:spacing w:after="160" w:line="360" w:lineRule="auto"/>
        <w:ind w:left="567"/>
        <w:jc w:val="both"/>
        <w:rPr>
          <w:rFonts w:ascii="Tahoma" w:hAnsi="Tahoma" w:cs="Tahoma"/>
          <w:sz w:val="24"/>
          <w:szCs w:val="24"/>
        </w:rPr>
      </w:pPr>
    </w:p>
    <w:p w:rsidR="006A0FC2" w:rsidRDefault="006A0FC2" w:rsidP="006A0FC2">
      <w:pPr>
        <w:spacing w:line="360" w:lineRule="auto"/>
        <w:ind w:firstLine="567"/>
        <w:jc w:val="both"/>
        <w:rPr>
          <w:rFonts w:ascii="Tahoma" w:hAnsi="Tahoma" w:cs="Tahoma"/>
          <w:i/>
          <w:sz w:val="24"/>
          <w:szCs w:val="24"/>
        </w:rPr>
      </w:pPr>
      <w:r w:rsidRPr="00794976">
        <w:rPr>
          <w:rFonts w:ascii="Tahoma" w:hAnsi="Tahoma" w:cs="Tahoma"/>
          <w:i/>
          <w:sz w:val="24"/>
          <w:szCs w:val="24"/>
        </w:rPr>
        <w:t>Winter Wheat</w:t>
      </w:r>
    </w:p>
    <w:p w:rsidR="00794976" w:rsidRPr="006A0FC2" w:rsidRDefault="00794976" w:rsidP="006A0FC2">
      <w:pPr>
        <w:spacing w:line="360" w:lineRule="auto"/>
        <w:ind w:firstLine="567"/>
        <w:jc w:val="both"/>
        <w:rPr>
          <w:rFonts w:ascii="Tahoma" w:hAnsi="Tahoma" w:cs="Tahoma"/>
          <w:i/>
          <w:sz w:val="24"/>
          <w:szCs w:val="24"/>
        </w:rPr>
      </w:pPr>
    </w:p>
    <w:p w:rsidR="00794976" w:rsidRDefault="00794976" w:rsidP="00794976">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 xml:space="preserve">Winter wheat planting is in progress, with about 2 700 hectares having been planted as at 5 May 2019 out of 77 000 targeted hectares. </w:t>
      </w:r>
      <w:r w:rsidR="00E5651C" w:rsidRPr="00A266D2">
        <w:rPr>
          <w:rFonts w:ascii="Tahoma" w:hAnsi="Tahoma" w:cs="Tahoma"/>
          <w:sz w:val="24"/>
          <w:szCs w:val="24"/>
        </w:rPr>
        <w:t>The r</w:t>
      </w:r>
      <w:r>
        <w:rPr>
          <w:rFonts w:ascii="Tahoma" w:hAnsi="Tahoma" w:cs="Tahoma"/>
          <w:sz w:val="24"/>
          <w:szCs w:val="24"/>
        </w:rPr>
        <w:t xml:space="preserve">ecommended winter wheat planting deadline is 31 May. </w:t>
      </w:r>
    </w:p>
    <w:p w:rsidR="00794976" w:rsidRDefault="00794976" w:rsidP="00794976">
      <w:pPr>
        <w:pStyle w:val="ListParagraph"/>
        <w:spacing w:after="160" w:line="360" w:lineRule="auto"/>
        <w:ind w:left="567"/>
        <w:jc w:val="both"/>
        <w:rPr>
          <w:rFonts w:ascii="Tahoma" w:hAnsi="Tahoma" w:cs="Tahoma"/>
          <w:sz w:val="24"/>
          <w:szCs w:val="24"/>
        </w:rPr>
      </w:pPr>
    </w:p>
    <w:p w:rsidR="00794976" w:rsidRDefault="00794976" w:rsidP="00794976">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 xml:space="preserve">Of the planted hectrage, 2 600 hectares is under Command Agriculture Programme with the remainder being private sector initiative. </w:t>
      </w:r>
    </w:p>
    <w:p w:rsidR="00695727" w:rsidRPr="00CD2B56" w:rsidRDefault="00695727" w:rsidP="00695727">
      <w:pPr>
        <w:spacing w:after="0" w:line="360" w:lineRule="auto"/>
        <w:ind w:left="360"/>
        <w:jc w:val="both"/>
        <w:rPr>
          <w:rFonts w:ascii="Tahoma" w:hAnsi="Tahoma" w:cs="Tahoma"/>
          <w:sz w:val="24"/>
          <w:szCs w:val="24"/>
        </w:rPr>
      </w:pPr>
    </w:p>
    <w:p w:rsidR="00695727" w:rsidRPr="00CD2B56" w:rsidRDefault="00695727" w:rsidP="006A0FC2">
      <w:pPr>
        <w:spacing w:after="0" w:line="360" w:lineRule="auto"/>
        <w:ind w:firstLine="567"/>
        <w:jc w:val="both"/>
        <w:rPr>
          <w:rFonts w:ascii="Tahoma" w:hAnsi="Tahoma" w:cs="Tahoma"/>
          <w:i/>
          <w:sz w:val="24"/>
          <w:szCs w:val="24"/>
        </w:rPr>
      </w:pPr>
      <w:r w:rsidRPr="00CD2B56">
        <w:rPr>
          <w:rFonts w:ascii="Tahoma" w:hAnsi="Tahoma" w:cs="Tahoma"/>
          <w:i/>
          <w:sz w:val="24"/>
          <w:szCs w:val="24"/>
        </w:rPr>
        <w:t>Tobacco</w:t>
      </w:r>
    </w:p>
    <w:p w:rsidR="00695727" w:rsidRPr="00CD2B56" w:rsidRDefault="00695727" w:rsidP="00695727">
      <w:pPr>
        <w:spacing w:after="0" w:line="360" w:lineRule="auto"/>
        <w:ind w:left="360"/>
        <w:jc w:val="both"/>
        <w:rPr>
          <w:rFonts w:ascii="Tahoma" w:hAnsi="Tahoma" w:cs="Tahoma"/>
          <w:sz w:val="24"/>
          <w:szCs w:val="24"/>
        </w:rPr>
      </w:pPr>
    </w:p>
    <w:p w:rsidR="00695727" w:rsidRPr="00CD2B56" w:rsidRDefault="00695727" w:rsidP="00695727">
      <w:pPr>
        <w:pStyle w:val="ListParagraph"/>
        <w:numPr>
          <w:ilvl w:val="0"/>
          <w:numId w:val="1"/>
        </w:numPr>
        <w:spacing w:after="160" w:line="360" w:lineRule="auto"/>
        <w:ind w:left="567" w:hanging="567"/>
        <w:jc w:val="both"/>
        <w:rPr>
          <w:rFonts w:ascii="Tahoma" w:hAnsi="Tahoma" w:cs="Tahoma"/>
          <w:sz w:val="24"/>
          <w:szCs w:val="24"/>
        </w:rPr>
      </w:pPr>
      <w:r w:rsidRPr="00CD2B56">
        <w:rPr>
          <w:rFonts w:ascii="Tahoma" w:hAnsi="Tahoma" w:cs="Tahoma"/>
          <w:sz w:val="24"/>
          <w:szCs w:val="24"/>
        </w:rPr>
        <w:t xml:space="preserve">Tobacco auction floors opened on 20 March 2019, with </w:t>
      </w:r>
      <w:r>
        <w:rPr>
          <w:rFonts w:ascii="Tahoma" w:hAnsi="Tahoma" w:cs="Tahoma"/>
          <w:sz w:val="24"/>
          <w:szCs w:val="24"/>
        </w:rPr>
        <w:t>only</w:t>
      </w:r>
      <w:r w:rsidRPr="00CD2B56">
        <w:rPr>
          <w:rFonts w:ascii="Tahoma" w:hAnsi="Tahoma" w:cs="Tahoma"/>
          <w:sz w:val="24"/>
          <w:szCs w:val="24"/>
        </w:rPr>
        <w:t xml:space="preserve"> 3 888 kgs being delivered to floors on the day compared to 165 105 delivered on the same day last year</w:t>
      </w:r>
      <w:r w:rsidRPr="00CD2B56">
        <w:rPr>
          <w:rFonts w:ascii="Tahoma" w:eastAsia="Times New Roman" w:hAnsi="Tahoma" w:cs="Tahoma"/>
          <w:sz w:val="24"/>
          <w:szCs w:val="24"/>
        </w:rPr>
        <w:t>.</w:t>
      </w:r>
    </w:p>
    <w:p w:rsidR="00695727" w:rsidRPr="00CD2B56" w:rsidRDefault="00695727" w:rsidP="00695727">
      <w:pPr>
        <w:spacing w:after="0" w:line="360" w:lineRule="auto"/>
        <w:ind w:left="360"/>
        <w:jc w:val="both"/>
        <w:rPr>
          <w:rFonts w:ascii="Tahoma" w:hAnsi="Tahoma" w:cs="Tahoma"/>
          <w:sz w:val="24"/>
          <w:szCs w:val="24"/>
        </w:rPr>
      </w:pPr>
    </w:p>
    <w:p w:rsidR="00695727" w:rsidRPr="00CD2B56" w:rsidRDefault="00695727" w:rsidP="00695727">
      <w:pPr>
        <w:pStyle w:val="ListParagraph"/>
        <w:numPr>
          <w:ilvl w:val="0"/>
          <w:numId w:val="1"/>
        </w:numPr>
        <w:spacing w:after="160" w:line="360" w:lineRule="auto"/>
        <w:ind w:left="567" w:hanging="567"/>
        <w:jc w:val="both"/>
        <w:rPr>
          <w:rFonts w:ascii="Tahoma" w:hAnsi="Tahoma" w:cs="Tahoma"/>
          <w:sz w:val="24"/>
          <w:szCs w:val="24"/>
        </w:rPr>
      </w:pPr>
      <w:r>
        <w:rPr>
          <w:rFonts w:ascii="Tahoma" w:eastAsia="Times New Roman" w:hAnsi="Tahoma" w:cs="Tahoma"/>
          <w:sz w:val="24"/>
          <w:szCs w:val="24"/>
        </w:rPr>
        <w:t>A</w:t>
      </w:r>
      <w:r w:rsidRPr="00CD2B56">
        <w:rPr>
          <w:rFonts w:ascii="Tahoma" w:eastAsia="Times New Roman" w:hAnsi="Tahoma" w:cs="Tahoma"/>
          <w:sz w:val="24"/>
          <w:szCs w:val="24"/>
        </w:rPr>
        <w:t xml:space="preserve">verage buying price on the </w:t>
      </w:r>
      <w:r>
        <w:rPr>
          <w:rFonts w:ascii="Tahoma" w:eastAsia="Times New Roman" w:hAnsi="Tahoma" w:cs="Tahoma"/>
          <w:sz w:val="24"/>
          <w:szCs w:val="24"/>
        </w:rPr>
        <w:t>opening day</w:t>
      </w:r>
      <w:r w:rsidRPr="00CD2B56">
        <w:rPr>
          <w:rFonts w:ascii="Tahoma" w:eastAsia="Times New Roman" w:hAnsi="Tahoma" w:cs="Tahoma"/>
          <w:sz w:val="24"/>
          <w:szCs w:val="24"/>
        </w:rPr>
        <w:t xml:space="preserve"> was 17% lower</w:t>
      </w:r>
      <w:r w:rsidR="00E5651C" w:rsidRPr="00A266D2">
        <w:rPr>
          <w:rFonts w:ascii="Tahoma" w:eastAsia="Times New Roman" w:hAnsi="Tahoma" w:cs="Tahoma"/>
          <w:sz w:val="24"/>
          <w:szCs w:val="24"/>
        </w:rPr>
        <w:t>,</w:t>
      </w:r>
      <w:r w:rsidRPr="00A266D2">
        <w:rPr>
          <w:rFonts w:ascii="Tahoma" w:eastAsia="Times New Roman" w:hAnsi="Tahoma" w:cs="Tahoma"/>
          <w:sz w:val="24"/>
          <w:szCs w:val="24"/>
        </w:rPr>
        <w:t xml:space="preserve"> at US$1.83</w:t>
      </w:r>
      <w:r w:rsidR="00E5651C" w:rsidRPr="00A266D2">
        <w:rPr>
          <w:rFonts w:ascii="Tahoma" w:eastAsia="Times New Roman" w:hAnsi="Tahoma" w:cs="Tahoma"/>
          <w:sz w:val="24"/>
          <w:szCs w:val="24"/>
        </w:rPr>
        <w:t xml:space="preserve"> per kg, </w:t>
      </w:r>
      <w:r w:rsidRPr="00CD2B56">
        <w:rPr>
          <w:rFonts w:ascii="Tahoma" w:eastAsia="Times New Roman" w:hAnsi="Tahoma" w:cs="Tahoma"/>
          <w:sz w:val="24"/>
          <w:szCs w:val="24"/>
        </w:rPr>
        <w:t xml:space="preserve">compared to US$2.22 paid the same day last year. </w:t>
      </w:r>
    </w:p>
    <w:p w:rsidR="00695727" w:rsidRPr="00CD2B56" w:rsidRDefault="00695727" w:rsidP="00695727">
      <w:pPr>
        <w:pStyle w:val="ListParagraph"/>
        <w:rPr>
          <w:rFonts w:ascii="Tahoma" w:hAnsi="Tahoma" w:cs="Tahoma"/>
          <w:sz w:val="24"/>
          <w:szCs w:val="24"/>
        </w:rPr>
      </w:pPr>
    </w:p>
    <w:p w:rsidR="00695727" w:rsidRDefault="00695727" w:rsidP="00695727">
      <w:pPr>
        <w:pStyle w:val="ListParagraph"/>
        <w:numPr>
          <w:ilvl w:val="0"/>
          <w:numId w:val="1"/>
        </w:numPr>
        <w:spacing w:after="160" w:line="360" w:lineRule="auto"/>
        <w:ind w:left="567" w:hanging="567"/>
        <w:jc w:val="both"/>
        <w:rPr>
          <w:rFonts w:ascii="Tahoma" w:hAnsi="Tahoma" w:cs="Tahoma"/>
          <w:sz w:val="24"/>
          <w:szCs w:val="24"/>
        </w:rPr>
      </w:pPr>
      <w:r w:rsidRPr="00CD2B56">
        <w:rPr>
          <w:rFonts w:ascii="Tahoma" w:hAnsi="Tahoma" w:cs="Tahoma"/>
          <w:sz w:val="24"/>
          <w:szCs w:val="24"/>
        </w:rPr>
        <w:t xml:space="preserve">As at </w:t>
      </w:r>
      <w:r w:rsidR="00A266D2">
        <w:rPr>
          <w:rFonts w:ascii="Tahoma" w:hAnsi="Tahoma" w:cs="Tahoma"/>
          <w:sz w:val="24"/>
          <w:szCs w:val="24"/>
        </w:rPr>
        <w:t>29 March</w:t>
      </w:r>
      <w:r w:rsidRPr="00CD2B56">
        <w:rPr>
          <w:rFonts w:ascii="Tahoma" w:hAnsi="Tahoma" w:cs="Tahoma"/>
          <w:sz w:val="24"/>
          <w:szCs w:val="24"/>
        </w:rPr>
        <w:t xml:space="preserve"> 2019, </w:t>
      </w:r>
      <w:r w:rsidR="00A266D2">
        <w:rPr>
          <w:rFonts w:ascii="Tahoma" w:hAnsi="Tahoma" w:cs="Tahoma"/>
          <w:sz w:val="24"/>
          <w:szCs w:val="24"/>
        </w:rPr>
        <w:t xml:space="preserve">about </w:t>
      </w:r>
      <w:r w:rsidRPr="00CD2B56">
        <w:rPr>
          <w:rFonts w:ascii="Tahoma" w:hAnsi="Tahoma" w:cs="Tahoma"/>
          <w:sz w:val="24"/>
          <w:szCs w:val="24"/>
        </w:rPr>
        <w:t>538 147 kgs had been sold through the auction floors at an average price on US$1.67</w:t>
      </w:r>
      <w:r w:rsidR="00E5651C">
        <w:rPr>
          <w:rFonts w:ascii="Tahoma" w:hAnsi="Tahoma" w:cs="Tahoma"/>
          <w:sz w:val="24"/>
          <w:szCs w:val="24"/>
        </w:rPr>
        <w:t xml:space="preserve"> </w:t>
      </w:r>
      <w:r w:rsidR="00E5651C" w:rsidRPr="00A266D2">
        <w:rPr>
          <w:rFonts w:ascii="Tahoma" w:hAnsi="Tahoma" w:cs="Tahoma"/>
          <w:sz w:val="24"/>
          <w:szCs w:val="24"/>
        </w:rPr>
        <w:t>per kg</w:t>
      </w:r>
      <w:r w:rsidRPr="00CD2B56">
        <w:rPr>
          <w:rFonts w:ascii="Tahoma" w:hAnsi="Tahoma" w:cs="Tahoma"/>
          <w:sz w:val="24"/>
          <w:szCs w:val="24"/>
        </w:rPr>
        <w:t>. This falls short of 6.8 million kgs delivered the same period last year at an average price of US$2.78.</w:t>
      </w:r>
    </w:p>
    <w:p w:rsidR="00695727" w:rsidRPr="009D6949" w:rsidRDefault="00695727" w:rsidP="00695727">
      <w:pPr>
        <w:pStyle w:val="ListParagraph"/>
        <w:rPr>
          <w:rFonts w:ascii="Tahoma" w:hAnsi="Tahoma" w:cs="Tahoma"/>
          <w:sz w:val="24"/>
          <w:szCs w:val="24"/>
        </w:rPr>
      </w:pPr>
    </w:p>
    <w:p w:rsidR="00695727" w:rsidRPr="00CD2B56" w:rsidRDefault="00695727" w:rsidP="00695727">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However, by 5 May 2019, more deliveries were received to reach 59.8 million kgs</w:t>
      </w:r>
      <w:r w:rsidR="00E5651C">
        <w:rPr>
          <w:rFonts w:ascii="Tahoma" w:hAnsi="Tahoma" w:cs="Tahoma"/>
          <w:sz w:val="24"/>
          <w:szCs w:val="24"/>
        </w:rPr>
        <w:t xml:space="preserve"> </w:t>
      </w:r>
      <w:r w:rsidR="00E5651C" w:rsidRPr="00A266D2">
        <w:rPr>
          <w:rFonts w:ascii="Tahoma" w:hAnsi="Tahoma" w:cs="Tahoma"/>
          <w:sz w:val="24"/>
          <w:szCs w:val="24"/>
        </w:rPr>
        <w:t>cumulatively</w:t>
      </w:r>
      <w:r w:rsidR="00E5651C">
        <w:rPr>
          <w:rFonts w:ascii="Tahoma" w:hAnsi="Tahoma" w:cs="Tahoma"/>
          <w:sz w:val="24"/>
          <w:szCs w:val="24"/>
        </w:rPr>
        <w:t>,</w:t>
      </w:r>
      <w:r>
        <w:rPr>
          <w:rFonts w:ascii="Tahoma" w:hAnsi="Tahoma" w:cs="Tahoma"/>
          <w:sz w:val="24"/>
          <w:szCs w:val="24"/>
        </w:rPr>
        <w:t xml:space="preserve"> valued at US$106.3 million, although average prices remained depressed below US$2 per kg.</w:t>
      </w:r>
    </w:p>
    <w:p w:rsidR="00695727" w:rsidRPr="00CD2B56" w:rsidRDefault="00695727" w:rsidP="00695727">
      <w:pPr>
        <w:spacing w:after="0" w:line="360" w:lineRule="auto"/>
        <w:ind w:left="360"/>
        <w:jc w:val="both"/>
        <w:rPr>
          <w:rFonts w:ascii="Tahoma" w:hAnsi="Tahoma" w:cs="Tahoma"/>
          <w:sz w:val="24"/>
          <w:szCs w:val="24"/>
        </w:rPr>
      </w:pPr>
    </w:p>
    <w:p w:rsidR="00695727" w:rsidRPr="001B3EEF" w:rsidRDefault="00695727" w:rsidP="00695727">
      <w:pPr>
        <w:spacing w:after="0"/>
        <w:ind w:firstLine="567"/>
        <w:rPr>
          <w:rFonts w:ascii="Tahoma" w:hAnsi="Tahoma" w:cs="Tahoma"/>
          <w:b/>
          <w:sz w:val="24"/>
          <w:szCs w:val="24"/>
        </w:rPr>
      </w:pPr>
      <w:r w:rsidRPr="001B3EEF">
        <w:rPr>
          <w:rFonts w:ascii="Tahoma" w:hAnsi="Tahoma" w:cs="Tahoma"/>
          <w:b/>
          <w:sz w:val="24"/>
          <w:szCs w:val="24"/>
        </w:rPr>
        <w:t>Tobacco Deliveries as at 5 May 2019</w:t>
      </w:r>
    </w:p>
    <w:tbl>
      <w:tblPr>
        <w:tblStyle w:val="GridTable4-Accent12"/>
        <w:tblW w:w="9462" w:type="dxa"/>
        <w:tblLook w:val="04A0" w:firstRow="1" w:lastRow="0" w:firstColumn="1" w:lastColumn="0" w:noHBand="0" w:noVBand="1"/>
      </w:tblPr>
      <w:tblGrid>
        <w:gridCol w:w="1289"/>
        <w:gridCol w:w="1998"/>
        <w:gridCol w:w="1961"/>
        <w:gridCol w:w="1475"/>
        <w:gridCol w:w="1428"/>
        <w:gridCol w:w="1311"/>
      </w:tblGrid>
      <w:tr w:rsidR="00695727" w:rsidRPr="009D6949" w:rsidTr="00A266D2">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89" w:type="dxa"/>
            <w:noWrap/>
            <w:hideMark/>
          </w:tcPr>
          <w:p w:rsidR="00695727" w:rsidRPr="009D6949" w:rsidRDefault="00695727" w:rsidP="00927493">
            <w:pPr>
              <w:spacing w:after="0" w:line="240" w:lineRule="auto"/>
              <w:rPr>
                <w:rFonts w:ascii="Tahoma" w:eastAsia="Times New Roman" w:hAnsi="Tahoma" w:cs="Tahoma"/>
                <w:b w:val="0"/>
                <w:bCs w:val="0"/>
                <w:color w:val="FF0000"/>
                <w:sz w:val="18"/>
                <w:szCs w:val="18"/>
                <w:lang w:eastAsia="en-ZW"/>
              </w:rPr>
            </w:pPr>
            <w:r w:rsidRPr="009D6949">
              <w:rPr>
                <w:rFonts w:ascii="Tahoma" w:eastAsia="Times New Roman" w:hAnsi="Tahoma" w:cs="Tahoma"/>
                <w:sz w:val="18"/>
                <w:szCs w:val="18"/>
                <w:lang w:eastAsia="en-ZW"/>
              </w:rPr>
              <w:t>SEASONAL</w:t>
            </w:r>
          </w:p>
        </w:tc>
        <w:tc>
          <w:tcPr>
            <w:tcW w:w="1998" w:type="dxa"/>
            <w:noWrap/>
            <w:hideMark/>
          </w:tcPr>
          <w:p w:rsidR="00695727" w:rsidRPr="009D6949" w:rsidRDefault="00A266D2" w:rsidP="00A266D2">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sz w:val="18"/>
                <w:szCs w:val="18"/>
                <w:lang w:eastAsia="en-ZW"/>
              </w:rPr>
            </w:pPr>
            <w:r>
              <w:rPr>
                <w:rFonts w:ascii="Tahoma" w:eastAsia="Times New Roman" w:hAnsi="Tahoma" w:cs="Tahoma"/>
                <w:sz w:val="18"/>
                <w:szCs w:val="18"/>
                <w:lang w:eastAsia="en-ZW"/>
              </w:rPr>
              <w:t>Tobacco from Private Farmers</w:t>
            </w:r>
          </w:p>
        </w:tc>
        <w:tc>
          <w:tcPr>
            <w:tcW w:w="1961" w:type="dxa"/>
            <w:noWrap/>
            <w:hideMark/>
          </w:tcPr>
          <w:p w:rsidR="00695727" w:rsidRPr="009D6949" w:rsidRDefault="00A266D2" w:rsidP="00A266D2">
            <w:pPr>
              <w:spacing w:after="0" w:line="240" w:lineRule="auto"/>
              <w:ind w:left="-139"/>
              <w:jc w:val="right"/>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sz w:val="18"/>
                <w:szCs w:val="18"/>
                <w:lang w:eastAsia="en-ZW"/>
              </w:rPr>
            </w:pPr>
            <w:r w:rsidRPr="009D6949">
              <w:rPr>
                <w:rFonts w:ascii="Tahoma" w:eastAsia="Times New Roman" w:hAnsi="Tahoma" w:cs="Tahoma"/>
                <w:sz w:val="18"/>
                <w:szCs w:val="18"/>
                <w:lang w:eastAsia="en-ZW"/>
              </w:rPr>
              <w:t>Contract</w:t>
            </w:r>
            <w:r>
              <w:rPr>
                <w:rFonts w:ascii="Tahoma" w:eastAsia="Times New Roman" w:hAnsi="Tahoma" w:cs="Tahoma"/>
                <w:sz w:val="18"/>
                <w:szCs w:val="18"/>
                <w:lang w:eastAsia="en-ZW"/>
              </w:rPr>
              <w:t>ed Tobacco</w:t>
            </w:r>
          </w:p>
        </w:tc>
        <w:tc>
          <w:tcPr>
            <w:tcW w:w="1475" w:type="dxa"/>
            <w:noWrap/>
            <w:hideMark/>
          </w:tcPr>
          <w:p w:rsidR="00695727" w:rsidRPr="009D6949" w:rsidRDefault="00695727" w:rsidP="0092749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sz w:val="18"/>
                <w:szCs w:val="18"/>
                <w:lang w:eastAsia="en-ZW"/>
              </w:rPr>
            </w:pPr>
            <w:r w:rsidRPr="009D6949">
              <w:rPr>
                <w:rFonts w:ascii="Tahoma" w:eastAsia="Times New Roman" w:hAnsi="Tahoma" w:cs="Tahoma"/>
                <w:sz w:val="18"/>
                <w:szCs w:val="18"/>
                <w:lang w:eastAsia="en-ZW"/>
              </w:rPr>
              <w:t>TOTAL 2019</w:t>
            </w:r>
          </w:p>
        </w:tc>
        <w:tc>
          <w:tcPr>
            <w:tcW w:w="1428" w:type="dxa"/>
            <w:noWrap/>
            <w:hideMark/>
          </w:tcPr>
          <w:p w:rsidR="00695727" w:rsidRPr="009D6949" w:rsidRDefault="00695727" w:rsidP="0092749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sz w:val="18"/>
                <w:szCs w:val="18"/>
                <w:lang w:eastAsia="en-ZW"/>
              </w:rPr>
            </w:pPr>
            <w:r w:rsidRPr="009D6949">
              <w:rPr>
                <w:rFonts w:ascii="Tahoma" w:eastAsia="Times New Roman" w:hAnsi="Tahoma" w:cs="Tahoma"/>
                <w:sz w:val="18"/>
                <w:szCs w:val="18"/>
                <w:lang w:eastAsia="en-ZW"/>
              </w:rPr>
              <w:t>TOTAL 2018</w:t>
            </w:r>
          </w:p>
        </w:tc>
        <w:tc>
          <w:tcPr>
            <w:tcW w:w="1311" w:type="dxa"/>
            <w:noWrap/>
            <w:hideMark/>
          </w:tcPr>
          <w:p w:rsidR="00695727" w:rsidRPr="009D6949" w:rsidRDefault="00695727" w:rsidP="0092749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8"/>
                <w:szCs w:val="18"/>
                <w:lang w:eastAsia="en-ZW"/>
              </w:rPr>
            </w:pPr>
            <w:r w:rsidRPr="009D6949">
              <w:rPr>
                <w:rFonts w:ascii="Tahoma" w:eastAsia="Times New Roman" w:hAnsi="Tahoma" w:cs="Tahoma"/>
                <w:sz w:val="18"/>
                <w:szCs w:val="18"/>
                <w:lang w:eastAsia="en-ZW"/>
              </w:rPr>
              <w:t>% CHANGE</w:t>
            </w:r>
          </w:p>
        </w:tc>
      </w:tr>
      <w:tr w:rsidR="00695727" w:rsidRPr="009D6949" w:rsidTr="00A266D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89" w:type="dxa"/>
            <w:noWrap/>
            <w:hideMark/>
          </w:tcPr>
          <w:p w:rsidR="00695727" w:rsidRPr="00A266D2" w:rsidRDefault="00695727" w:rsidP="00927493">
            <w:pPr>
              <w:spacing w:after="0" w:line="240" w:lineRule="auto"/>
              <w:rPr>
                <w:rFonts w:ascii="Tahoma" w:eastAsia="Times New Roman" w:hAnsi="Tahoma" w:cs="Tahoma"/>
                <w:b w:val="0"/>
                <w:sz w:val="18"/>
                <w:szCs w:val="18"/>
                <w:lang w:eastAsia="en-ZW"/>
              </w:rPr>
            </w:pPr>
            <w:r w:rsidRPr="00A266D2">
              <w:rPr>
                <w:rFonts w:ascii="Tahoma" w:eastAsia="Times New Roman" w:hAnsi="Tahoma" w:cs="Tahoma"/>
                <w:b w:val="0"/>
                <w:sz w:val="18"/>
                <w:szCs w:val="18"/>
                <w:lang w:eastAsia="en-ZW"/>
              </w:rPr>
              <w:t>Mass sold(kg)</w:t>
            </w:r>
          </w:p>
        </w:tc>
        <w:tc>
          <w:tcPr>
            <w:tcW w:w="1998" w:type="dxa"/>
            <w:noWrap/>
            <w:hideMark/>
          </w:tcPr>
          <w:p w:rsidR="00695727" w:rsidRPr="009D6949" w:rsidRDefault="00695727" w:rsidP="009274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lang w:eastAsia="en-ZW"/>
              </w:rPr>
            </w:pPr>
            <w:r w:rsidRPr="009D6949">
              <w:rPr>
                <w:rFonts w:ascii="Tahoma" w:eastAsia="Times New Roman" w:hAnsi="Tahoma" w:cs="Tahoma"/>
                <w:sz w:val="18"/>
                <w:szCs w:val="18"/>
                <w:lang w:eastAsia="en-ZW"/>
              </w:rPr>
              <w:t>10,979,346</w:t>
            </w:r>
          </w:p>
        </w:tc>
        <w:tc>
          <w:tcPr>
            <w:tcW w:w="1961" w:type="dxa"/>
            <w:noWrap/>
            <w:hideMark/>
          </w:tcPr>
          <w:p w:rsidR="00695727" w:rsidRPr="009D6949" w:rsidRDefault="00695727" w:rsidP="009274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lang w:eastAsia="en-ZW"/>
              </w:rPr>
            </w:pPr>
            <w:r w:rsidRPr="009D6949">
              <w:rPr>
                <w:rFonts w:ascii="Tahoma" w:eastAsia="Times New Roman" w:hAnsi="Tahoma" w:cs="Tahoma"/>
                <w:sz w:val="18"/>
                <w:szCs w:val="18"/>
                <w:lang w:eastAsia="en-ZW"/>
              </w:rPr>
              <w:t>48,897,856</w:t>
            </w:r>
          </w:p>
        </w:tc>
        <w:tc>
          <w:tcPr>
            <w:tcW w:w="1475" w:type="dxa"/>
            <w:noWrap/>
            <w:hideMark/>
          </w:tcPr>
          <w:p w:rsidR="00695727" w:rsidRPr="009D6949" w:rsidRDefault="00695727" w:rsidP="009274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lang w:eastAsia="en-ZW"/>
              </w:rPr>
            </w:pPr>
            <w:r w:rsidRPr="009D6949">
              <w:rPr>
                <w:rFonts w:ascii="Tahoma" w:eastAsia="Times New Roman" w:hAnsi="Tahoma" w:cs="Tahoma"/>
                <w:b/>
                <w:bCs/>
                <w:sz w:val="18"/>
                <w:szCs w:val="18"/>
                <w:lang w:eastAsia="en-ZW"/>
              </w:rPr>
              <w:t>59,877,202</w:t>
            </w:r>
          </w:p>
        </w:tc>
        <w:tc>
          <w:tcPr>
            <w:tcW w:w="1428" w:type="dxa"/>
            <w:noWrap/>
            <w:hideMark/>
          </w:tcPr>
          <w:p w:rsidR="00695727" w:rsidRPr="009D6949" w:rsidRDefault="00695727" w:rsidP="009274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lang w:eastAsia="en-ZW"/>
              </w:rPr>
            </w:pPr>
            <w:r w:rsidRPr="009D6949">
              <w:rPr>
                <w:rFonts w:ascii="Tahoma" w:eastAsia="Times New Roman" w:hAnsi="Tahoma" w:cs="Tahoma"/>
                <w:sz w:val="18"/>
                <w:szCs w:val="18"/>
                <w:lang w:eastAsia="en-ZW"/>
              </w:rPr>
              <w:t>87,280,749</w:t>
            </w:r>
          </w:p>
        </w:tc>
        <w:tc>
          <w:tcPr>
            <w:tcW w:w="1311" w:type="dxa"/>
            <w:noWrap/>
            <w:hideMark/>
          </w:tcPr>
          <w:p w:rsidR="00695727" w:rsidRPr="009D6949" w:rsidRDefault="00695727" w:rsidP="009274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lang w:eastAsia="en-ZW"/>
              </w:rPr>
            </w:pPr>
            <w:r w:rsidRPr="009D6949">
              <w:rPr>
                <w:rFonts w:ascii="Tahoma" w:eastAsia="Times New Roman" w:hAnsi="Tahoma" w:cs="Tahoma"/>
                <w:sz w:val="18"/>
                <w:szCs w:val="18"/>
                <w:lang w:eastAsia="en-ZW"/>
              </w:rPr>
              <w:t>(31.40)</w:t>
            </w:r>
          </w:p>
        </w:tc>
      </w:tr>
      <w:tr w:rsidR="00695727" w:rsidRPr="009D6949" w:rsidTr="00A266D2">
        <w:trPr>
          <w:trHeight w:val="57"/>
        </w:trPr>
        <w:tc>
          <w:tcPr>
            <w:cnfStyle w:val="001000000000" w:firstRow="0" w:lastRow="0" w:firstColumn="1" w:lastColumn="0" w:oddVBand="0" w:evenVBand="0" w:oddHBand="0" w:evenHBand="0" w:firstRowFirstColumn="0" w:firstRowLastColumn="0" w:lastRowFirstColumn="0" w:lastRowLastColumn="0"/>
            <w:tcW w:w="1289" w:type="dxa"/>
            <w:noWrap/>
            <w:hideMark/>
          </w:tcPr>
          <w:p w:rsidR="00695727" w:rsidRPr="00A266D2" w:rsidRDefault="00695727" w:rsidP="00927493">
            <w:pPr>
              <w:spacing w:after="0" w:line="240" w:lineRule="auto"/>
              <w:rPr>
                <w:rFonts w:ascii="Tahoma" w:eastAsia="Times New Roman" w:hAnsi="Tahoma" w:cs="Tahoma"/>
                <w:b w:val="0"/>
                <w:sz w:val="18"/>
                <w:szCs w:val="18"/>
                <w:lang w:eastAsia="en-ZW"/>
              </w:rPr>
            </w:pPr>
            <w:r w:rsidRPr="00A266D2">
              <w:rPr>
                <w:rFonts w:ascii="Tahoma" w:eastAsia="Times New Roman" w:hAnsi="Tahoma" w:cs="Tahoma"/>
                <w:b w:val="0"/>
                <w:sz w:val="18"/>
                <w:szCs w:val="18"/>
                <w:lang w:eastAsia="en-ZW"/>
              </w:rPr>
              <w:t>Value(US$)</w:t>
            </w:r>
          </w:p>
        </w:tc>
        <w:tc>
          <w:tcPr>
            <w:tcW w:w="1998" w:type="dxa"/>
            <w:noWrap/>
            <w:hideMark/>
          </w:tcPr>
          <w:p w:rsidR="00695727" w:rsidRPr="009D6949" w:rsidRDefault="00695727" w:rsidP="009274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lang w:eastAsia="en-ZW"/>
              </w:rPr>
            </w:pPr>
            <w:r w:rsidRPr="009D6949">
              <w:rPr>
                <w:rFonts w:ascii="Tahoma" w:eastAsia="Times New Roman" w:hAnsi="Tahoma" w:cs="Tahoma"/>
                <w:sz w:val="18"/>
                <w:szCs w:val="18"/>
                <w:lang w:eastAsia="en-ZW"/>
              </w:rPr>
              <w:t>17,909,859</w:t>
            </w:r>
          </w:p>
        </w:tc>
        <w:tc>
          <w:tcPr>
            <w:tcW w:w="1961" w:type="dxa"/>
            <w:noWrap/>
            <w:hideMark/>
          </w:tcPr>
          <w:p w:rsidR="00695727" w:rsidRPr="009D6949" w:rsidRDefault="00695727" w:rsidP="009274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lang w:eastAsia="en-ZW"/>
              </w:rPr>
            </w:pPr>
            <w:r w:rsidRPr="009D6949">
              <w:rPr>
                <w:rFonts w:ascii="Tahoma" w:eastAsia="Times New Roman" w:hAnsi="Tahoma" w:cs="Tahoma"/>
                <w:sz w:val="18"/>
                <w:szCs w:val="18"/>
                <w:lang w:eastAsia="en-ZW"/>
              </w:rPr>
              <w:t>88,412,364</w:t>
            </w:r>
          </w:p>
        </w:tc>
        <w:tc>
          <w:tcPr>
            <w:tcW w:w="1475" w:type="dxa"/>
            <w:noWrap/>
            <w:hideMark/>
          </w:tcPr>
          <w:p w:rsidR="00695727" w:rsidRPr="009D6949" w:rsidRDefault="00695727" w:rsidP="009274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18"/>
                <w:szCs w:val="18"/>
                <w:lang w:eastAsia="en-ZW"/>
              </w:rPr>
            </w:pPr>
            <w:r w:rsidRPr="009D6949">
              <w:rPr>
                <w:rFonts w:ascii="Tahoma" w:eastAsia="Times New Roman" w:hAnsi="Tahoma" w:cs="Tahoma"/>
                <w:b/>
                <w:bCs/>
                <w:sz w:val="18"/>
                <w:szCs w:val="18"/>
                <w:lang w:eastAsia="en-ZW"/>
              </w:rPr>
              <w:t>106,322,223</w:t>
            </w:r>
          </w:p>
        </w:tc>
        <w:tc>
          <w:tcPr>
            <w:tcW w:w="1428" w:type="dxa"/>
            <w:noWrap/>
            <w:hideMark/>
          </w:tcPr>
          <w:p w:rsidR="00695727" w:rsidRPr="009D6949" w:rsidRDefault="00695727" w:rsidP="009274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lang w:eastAsia="en-ZW"/>
              </w:rPr>
            </w:pPr>
            <w:r w:rsidRPr="009D6949">
              <w:rPr>
                <w:rFonts w:ascii="Tahoma" w:eastAsia="Times New Roman" w:hAnsi="Tahoma" w:cs="Tahoma"/>
                <w:sz w:val="18"/>
                <w:szCs w:val="18"/>
                <w:lang w:eastAsia="en-ZW"/>
              </w:rPr>
              <w:t>250,315,868</w:t>
            </w:r>
          </w:p>
        </w:tc>
        <w:tc>
          <w:tcPr>
            <w:tcW w:w="1311" w:type="dxa"/>
            <w:noWrap/>
            <w:hideMark/>
          </w:tcPr>
          <w:p w:rsidR="00695727" w:rsidRPr="009D6949" w:rsidRDefault="00695727" w:rsidP="009274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lang w:eastAsia="en-ZW"/>
              </w:rPr>
            </w:pPr>
            <w:r w:rsidRPr="009D6949">
              <w:rPr>
                <w:rFonts w:ascii="Tahoma" w:eastAsia="Times New Roman" w:hAnsi="Tahoma" w:cs="Tahoma"/>
                <w:sz w:val="18"/>
                <w:szCs w:val="18"/>
                <w:lang w:eastAsia="en-ZW"/>
              </w:rPr>
              <w:t>(58)</w:t>
            </w:r>
          </w:p>
        </w:tc>
      </w:tr>
      <w:tr w:rsidR="00695727" w:rsidRPr="009D6949" w:rsidTr="00A266D2">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289" w:type="dxa"/>
            <w:noWrap/>
            <w:hideMark/>
          </w:tcPr>
          <w:p w:rsidR="00695727" w:rsidRPr="00A266D2" w:rsidRDefault="00695727" w:rsidP="00927493">
            <w:pPr>
              <w:spacing w:after="0" w:line="240" w:lineRule="auto"/>
              <w:rPr>
                <w:rFonts w:ascii="Tahoma" w:eastAsia="Times New Roman" w:hAnsi="Tahoma" w:cs="Tahoma"/>
                <w:b w:val="0"/>
                <w:bCs w:val="0"/>
                <w:sz w:val="18"/>
                <w:szCs w:val="18"/>
                <w:lang w:eastAsia="en-ZW"/>
              </w:rPr>
            </w:pPr>
            <w:r w:rsidRPr="00A266D2">
              <w:rPr>
                <w:rFonts w:ascii="Tahoma" w:eastAsia="Times New Roman" w:hAnsi="Tahoma" w:cs="Tahoma"/>
                <w:b w:val="0"/>
                <w:sz w:val="18"/>
                <w:szCs w:val="18"/>
                <w:lang w:eastAsia="en-ZW"/>
              </w:rPr>
              <w:t>Avg.price US$/kg</w:t>
            </w:r>
          </w:p>
        </w:tc>
        <w:tc>
          <w:tcPr>
            <w:tcW w:w="1998" w:type="dxa"/>
            <w:noWrap/>
            <w:hideMark/>
          </w:tcPr>
          <w:p w:rsidR="00695727" w:rsidRPr="009D6949" w:rsidRDefault="00695727" w:rsidP="009274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lang w:eastAsia="en-ZW"/>
              </w:rPr>
            </w:pPr>
            <w:r w:rsidRPr="009D6949">
              <w:rPr>
                <w:rFonts w:ascii="Tahoma" w:eastAsia="Times New Roman" w:hAnsi="Tahoma" w:cs="Tahoma"/>
                <w:b/>
                <w:bCs/>
                <w:sz w:val="18"/>
                <w:szCs w:val="18"/>
                <w:lang w:eastAsia="en-ZW"/>
              </w:rPr>
              <w:t>1.63</w:t>
            </w:r>
          </w:p>
        </w:tc>
        <w:tc>
          <w:tcPr>
            <w:tcW w:w="1961" w:type="dxa"/>
            <w:noWrap/>
            <w:hideMark/>
          </w:tcPr>
          <w:p w:rsidR="00695727" w:rsidRPr="009D6949" w:rsidRDefault="00695727" w:rsidP="009274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lang w:eastAsia="en-ZW"/>
              </w:rPr>
            </w:pPr>
            <w:r w:rsidRPr="009D6949">
              <w:rPr>
                <w:rFonts w:ascii="Tahoma" w:eastAsia="Times New Roman" w:hAnsi="Tahoma" w:cs="Tahoma"/>
                <w:b/>
                <w:bCs/>
                <w:sz w:val="18"/>
                <w:szCs w:val="18"/>
                <w:lang w:eastAsia="en-ZW"/>
              </w:rPr>
              <w:t>1.81</w:t>
            </w:r>
          </w:p>
        </w:tc>
        <w:tc>
          <w:tcPr>
            <w:tcW w:w="1475" w:type="dxa"/>
            <w:noWrap/>
            <w:hideMark/>
          </w:tcPr>
          <w:p w:rsidR="00695727" w:rsidRPr="009D6949" w:rsidRDefault="00695727" w:rsidP="009274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lang w:eastAsia="en-ZW"/>
              </w:rPr>
            </w:pPr>
            <w:r w:rsidRPr="009D6949">
              <w:rPr>
                <w:rFonts w:ascii="Tahoma" w:eastAsia="Times New Roman" w:hAnsi="Tahoma" w:cs="Tahoma"/>
                <w:b/>
                <w:bCs/>
                <w:sz w:val="18"/>
                <w:szCs w:val="18"/>
                <w:lang w:eastAsia="en-ZW"/>
              </w:rPr>
              <w:t>1.78</w:t>
            </w:r>
          </w:p>
        </w:tc>
        <w:tc>
          <w:tcPr>
            <w:tcW w:w="1428" w:type="dxa"/>
            <w:noWrap/>
            <w:hideMark/>
          </w:tcPr>
          <w:p w:rsidR="00695727" w:rsidRPr="009D6949" w:rsidRDefault="00695727" w:rsidP="009274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lang w:eastAsia="en-ZW"/>
              </w:rPr>
            </w:pPr>
            <w:r w:rsidRPr="009D6949">
              <w:rPr>
                <w:rFonts w:ascii="Tahoma" w:eastAsia="Times New Roman" w:hAnsi="Tahoma" w:cs="Tahoma"/>
                <w:b/>
                <w:bCs/>
                <w:sz w:val="18"/>
                <w:szCs w:val="18"/>
                <w:lang w:eastAsia="en-ZW"/>
              </w:rPr>
              <w:t>2.87</w:t>
            </w:r>
          </w:p>
        </w:tc>
        <w:tc>
          <w:tcPr>
            <w:tcW w:w="1311" w:type="dxa"/>
            <w:noWrap/>
            <w:hideMark/>
          </w:tcPr>
          <w:p w:rsidR="00695727" w:rsidRPr="009D6949" w:rsidRDefault="00695727" w:rsidP="0092749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lang w:eastAsia="en-ZW"/>
              </w:rPr>
            </w:pPr>
            <w:r w:rsidRPr="009D6949">
              <w:rPr>
                <w:rFonts w:ascii="Tahoma" w:eastAsia="Times New Roman" w:hAnsi="Tahoma" w:cs="Tahoma"/>
                <w:b/>
                <w:bCs/>
                <w:sz w:val="18"/>
                <w:szCs w:val="18"/>
                <w:lang w:eastAsia="en-ZW"/>
              </w:rPr>
              <w:t>(38.09)</w:t>
            </w:r>
          </w:p>
        </w:tc>
      </w:tr>
    </w:tbl>
    <w:p w:rsidR="00695727" w:rsidRPr="00CD2B56" w:rsidRDefault="00695727" w:rsidP="00695727">
      <w:pPr>
        <w:spacing w:after="0" w:line="360" w:lineRule="auto"/>
        <w:ind w:left="360"/>
        <w:jc w:val="both"/>
        <w:rPr>
          <w:rFonts w:ascii="Tahoma" w:hAnsi="Tahoma" w:cs="Tahoma"/>
          <w:b/>
          <w:i/>
          <w:sz w:val="24"/>
          <w:szCs w:val="24"/>
        </w:rPr>
      </w:pPr>
      <w:r w:rsidRPr="00CD2B56">
        <w:rPr>
          <w:rFonts w:ascii="Tahoma" w:hAnsi="Tahoma" w:cs="Tahoma"/>
          <w:b/>
          <w:i/>
          <w:sz w:val="24"/>
          <w:szCs w:val="24"/>
        </w:rPr>
        <w:t>Source: TIMB</w:t>
      </w:r>
    </w:p>
    <w:p w:rsidR="00E5651C" w:rsidRDefault="00E5651C" w:rsidP="006A0FC2">
      <w:pPr>
        <w:spacing w:after="0" w:line="360" w:lineRule="auto"/>
        <w:ind w:firstLine="360"/>
        <w:jc w:val="both"/>
        <w:rPr>
          <w:rFonts w:ascii="Tahoma" w:hAnsi="Tahoma" w:cs="Tahoma"/>
          <w:i/>
          <w:sz w:val="24"/>
          <w:szCs w:val="24"/>
        </w:rPr>
      </w:pPr>
    </w:p>
    <w:p w:rsidR="00695727" w:rsidRDefault="00695727" w:rsidP="006A0FC2">
      <w:pPr>
        <w:spacing w:after="0" w:line="360" w:lineRule="auto"/>
        <w:ind w:firstLine="360"/>
        <w:jc w:val="both"/>
        <w:rPr>
          <w:rFonts w:ascii="Tahoma" w:hAnsi="Tahoma" w:cs="Tahoma"/>
          <w:i/>
          <w:sz w:val="24"/>
          <w:szCs w:val="24"/>
          <w:highlight w:val="yellow"/>
        </w:rPr>
      </w:pPr>
      <w:r w:rsidRPr="006A0FC2">
        <w:rPr>
          <w:rFonts w:ascii="Tahoma" w:hAnsi="Tahoma" w:cs="Tahoma"/>
          <w:i/>
          <w:sz w:val="24"/>
          <w:szCs w:val="24"/>
        </w:rPr>
        <w:t>Progress on 99 Year Leases</w:t>
      </w:r>
    </w:p>
    <w:p w:rsidR="00695727" w:rsidRPr="009D6949" w:rsidRDefault="00695727" w:rsidP="00695727">
      <w:pPr>
        <w:spacing w:after="0" w:line="360" w:lineRule="auto"/>
        <w:ind w:left="360"/>
        <w:jc w:val="both"/>
        <w:rPr>
          <w:rFonts w:ascii="Tahoma" w:hAnsi="Tahoma" w:cs="Tahoma"/>
          <w:sz w:val="24"/>
          <w:szCs w:val="24"/>
          <w:highlight w:val="yellow"/>
        </w:rPr>
      </w:pPr>
    </w:p>
    <w:p w:rsidR="00B709E0" w:rsidRDefault="00B709E0" w:rsidP="00B709E0">
      <w:pPr>
        <w:spacing w:after="0" w:line="360" w:lineRule="auto"/>
        <w:jc w:val="both"/>
        <w:rPr>
          <w:rFonts w:ascii="Tahoma" w:hAnsi="Tahoma" w:cs="Tahoma"/>
        </w:rPr>
      </w:pPr>
    </w:p>
    <w:p w:rsidR="00B709E0" w:rsidRPr="00B709E0" w:rsidRDefault="00B709E0" w:rsidP="00B709E0">
      <w:pPr>
        <w:pStyle w:val="ListParagraph"/>
        <w:numPr>
          <w:ilvl w:val="0"/>
          <w:numId w:val="1"/>
        </w:numPr>
        <w:spacing w:after="160" w:line="360" w:lineRule="auto"/>
        <w:ind w:left="567" w:hanging="567"/>
        <w:jc w:val="both"/>
        <w:rPr>
          <w:rFonts w:ascii="Tahoma" w:hAnsi="Tahoma" w:cs="Tahoma"/>
          <w:sz w:val="24"/>
          <w:szCs w:val="24"/>
        </w:rPr>
      </w:pPr>
      <w:r w:rsidRPr="00B709E0">
        <w:rPr>
          <w:rFonts w:ascii="Tahoma" w:hAnsi="Tahoma" w:cs="Tahoma"/>
          <w:sz w:val="24"/>
          <w:szCs w:val="24"/>
        </w:rPr>
        <w:lastRenderedPageBreak/>
        <w:t>Government and Bankers Association of Zimbabwe agreed on the revised 99 Year Lease agreement in 2017. The revision enables the transferability of land in the event of default which was a major requirement by financial institutions.</w:t>
      </w:r>
    </w:p>
    <w:p w:rsidR="00B709E0" w:rsidRPr="00B709E0" w:rsidRDefault="00B709E0" w:rsidP="00B709E0">
      <w:pPr>
        <w:pStyle w:val="ListParagraph"/>
        <w:spacing w:after="0" w:line="360" w:lineRule="auto"/>
        <w:ind w:left="567"/>
        <w:jc w:val="both"/>
        <w:rPr>
          <w:rFonts w:ascii="Tahoma" w:hAnsi="Tahoma" w:cs="Tahoma"/>
          <w:sz w:val="24"/>
          <w:szCs w:val="24"/>
        </w:rPr>
      </w:pPr>
    </w:p>
    <w:p w:rsidR="00B709E0" w:rsidRPr="00B709E0" w:rsidRDefault="00B709E0" w:rsidP="00B709E0">
      <w:pPr>
        <w:pStyle w:val="ListParagraph"/>
        <w:numPr>
          <w:ilvl w:val="0"/>
          <w:numId w:val="1"/>
        </w:numPr>
        <w:spacing w:after="160" w:line="360" w:lineRule="auto"/>
        <w:ind w:left="567" w:hanging="567"/>
        <w:jc w:val="both"/>
        <w:rPr>
          <w:rFonts w:ascii="Tahoma" w:hAnsi="Tahoma" w:cs="Tahoma"/>
          <w:sz w:val="24"/>
          <w:szCs w:val="24"/>
        </w:rPr>
      </w:pPr>
      <w:r w:rsidRPr="00B709E0">
        <w:rPr>
          <w:rFonts w:ascii="Tahoma" w:hAnsi="Tahoma" w:cs="Tahoma"/>
          <w:sz w:val="24"/>
          <w:szCs w:val="24"/>
        </w:rPr>
        <w:t>In this regard, it is Government</w:t>
      </w:r>
      <w:r w:rsidR="006A0FC2">
        <w:rPr>
          <w:rFonts w:ascii="Tahoma" w:hAnsi="Tahoma" w:cs="Tahoma"/>
          <w:sz w:val="24"/>
          <w:szCs w:val="24"/>
        </w:rPr>
        <w:t>`s</w:t>
      </w:r>
      <w:r w:rsidRPr="00B709E0">
        <w:rPr>
          <w:rFonts w:ascii="Tahoma" w:hAnsi="Tahoma" w:cs="Tahoma"/>
          <w:sz w:val="24"/>
          <w:szCs w:val="24"/>
        </w:rPr>
        <w:t xml:space="preserve"> expectation that farmers issued with the new </w:t>
      </w:r>
      <w:r w:rsidR="006A0FC2" w:rsidRPr="00B709E0">
        <w:rPr>
          <w:rFonts w:ascii="Tahoma" w:hAnsi="Tahoma" w:cs="Tahoma"/>
          <w:sz w:val="24"/>
          <w:szCs w:val="24"/>
        </w:rPr>
        <w:t>Lease Agreement</w:t>
      </w:r>
      <w:r w:rsidR="006A0FC2">
        <w:rPr>
          <w:rFonts w:ascii="Tahoma" w:hAnsi="Tahoma" w:cs="Tahoma"/>
          <w:sz w:val="24"/>
          <w:szCs w:val="24"/>
        </w:rPr>
        <w:t>s</w:t>
      </w:r>
      <w:r w:rsidR="006A0FC2" w:rsidRPr="00B709E0">
        <w:rPr>
          <w:rFonts w:ascii="Tahoma" w:hAnsi="Tahoma" w:cs="Tahoma"/>
          <w:sz w:val="24"/>
          <w:szCs w:val="24"/>
        </w:rPr>
        <w:t xml:space="preserve"> </w:t>
      </w:r>
      <w:r w:rsidRPr="00B709E0">
        <w:rPr>
          <w:rFonts w:ascii="Tahoma" w:hAnsi="Tahoma" w:cs="Tahoma"/>
          <w:sz w:val="24"/>
          <w:szCs w:val="24"/>
        </w:rPr>
        <w:t xml:space="preserve">are able to borrow using the </w:t>
      </w:r>
      <w:r w:rsidR="006A0FC2">
        <w:rPr>
          <w:rFonts w:ascii="Tahoma" w:hAnsi="Tahoma" w:cs="Tahoma"/>
          <w:sz w:val="24"/>
          <w:szCs w:val="24"/>
        </w:rPr>
        <w:t xml:space="preserve">revised </w:t>
      </w:r>
      <w:r w:rsidRPr="00B709E0">
        <w:rPr>
          <w:rFonts w:ascii="Tahoma" w:hAnsi="Tahoma" w:cs="Tahoma"/>
          <w:sz w:val="24"/>
          <w:szCs w:val="24"/>
        </w:rPr>
        <w:t xml:space="preserve">99 Year Lease </w:t>
      </w:r>
      <w:r w:rsidR="006A0FC2" w:rsidRPr="00B709E0">
        <w:rPr>
          <w:rFonts w:ascii="Tahoma" w:hAnsi="Tahoma" w:cs="Tahoma"/>
          <w:sz w:val="24"/>
          <w:szCs w:val="24"/>
        </w:rPr>
        <w:t>Agreement</w:t>
      </w:r>
      <w:r w:rsidR="006A0FC2">
        <w:rPr>
          <w:rFonts w:ascii="Tahoma" w:hAnsi="Tahoma" w:cs="Tahoma"/>
          <w:sz w:val="24"/>
          <w:szCs w:val="24"/>
        </w:rPr>
        <w:t>s</w:t>
      </w:r>
      <w:r w:rsidR="006A0FC2" w:rsidRPr="00B709E0">
        <w:rPr>
          <w:rFonts w:ascii="Tahoma" w:hAnsi="Tahoma" w:cs="Tahoma"/>
          <w:sz w:val="24"/>
          <w:szCs w:val="24"/>
        </w:rPr>
        <w:t xml:space="preserve"> </w:t>
      </w:r>
      <w:r w:rsidRPr="00B709E0">
        <w:rPr>
          <w:rFonts w:ascii="Tahoma" w:hAnsi="Tahoma" w:cs="Tahoma"/>
          <w:sz w:val="24"/>
          <w:szCs w:val="24"/>
        </w:rPr>
        <w:t>as collateral.</w:t>
      </w:r>
    </w:p>
    <w:p w:rsidR="00B709E0" w:rsidRPr="00B709E0" w:rsidRDefault="00B709E0" w:rsidP="00B709E0">
      <w:pPr>
        <w:pStyle w:val="ListParagraph"/>
        <w:rPr>
          <w:rFonts w:ascii="Tahoma" w:hAnsi="Tahoma" w:cs="Tahoma"/>
          <w:sz w:val="24"/>
          <w:szCs w:val="24"/>
        </w:rPr>
      </w:pPr>
    </w:p>
    <w:p w:rsidR="00B709E0" w:rsidRPr="00B709E0" w:rsidRDefault="006A0FC2" w:rsidP="00B709E0">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 xml:space="preserve">Any concerns from </w:t>
      </w:r>
      <w:r w:rsidR="00B709E0" w:rsidRPr="00B709E0">
        <w:rPr>
          <w:rFonts w:ascii="Tahoma" w:hAnsi="Tahoma" w:cs="Tahoma"/>
          <w:sz w:val="24"/>
          <w:szCs w:val="24"/>
        </w:rPr>
        <w:t xml:space="preserve">banks </w:t>
      </w:r>
      <w:r>
        <w:rPr>
          <w:rFonts w:ascii="Tahoma" w:hAnsi="Tahoma" w:cs="Tahoma"/>
          <w:sz w:val="24"/>
          <w:szCs w:val="24"/>
        </w:rPr>
        <w:t xml:space="preserve">regarding </w:t>
      </w:r>
      <w:r w:rsidR="00B709E0" w:rsidRPr="00B709E0">
        <w:rPr>
          <w:rFonts w:ascii="Tahoma" w:hAnsi="Tahoma" w:cs="Tahoma"/>
          <w:sz w:val="24"/>
          <w:szCs w:val="24"/>
        </w:rPr>
        <w:t xml:space="preserve">the new 99 Year Lease </w:t>
      </w:r>
      <w:r w:rsidRPr="00B709E0">
        <w:rPr>
          <w:rFonts w:ascii="Tahoma" w:hAnsi="Tahoma" w:cs="Tahoma"/>
          <w:sz w:val="24"/>
          <w:szCs w:val="24"/>
        </w:rPr>
        <w:t>Agreement</w:t>
      </w:r>
      <w:r>
        <w:rPr>
          <w:rFonts w:ascii="Tahoma" w:hAnsi="Tahoma" w:cs="Tahoma"/>
          <w:sz w:val="24"/>
          <w:szCs w:val="24"/>
        </w:rPr>
        <w:t>s are being addressed as and when they arise and in some instances on case by case basis.</w:t>
      </w:r>
    </w:p>
    <w:p w:rsidR="00695727" w:rsidRPr="00B709E0" w:rsidRDefault="00695727" w:rsidP="00695727">
      <w:pPr>
        <w:spacing w:after="0" w:line="360" w:lineRule="auto"/>
        <w:ind w:left="360"/>
        <w:jc w:val="both"/>
        <w:rPr>
          <w:rFonts w:ascii="Tahoma" w:hAnsi="Tahoma" w:cs="Tahoma"/>
          <w:sz w:val="24"/>
          <w:szCs w:val="24"/>
          <w:highlight w:val="yellow"/>
        </w:rPr>
      </w:pPr>
    </w:p>
    <w:p w:rsidR="00695727" w:rsidRPr="00B709E0" w:rsidRDefault="00695727" w:rsidP="006A0FC2">
      <w:pPr>
        <w:spacing w:after="0" w:line="360" w:lineRule="auto"/>
        <w:ind w:firstLine="567"/>
        <w:jc w:val="both"/>
        <w:rPr>
          <w:rFonts w:ascii="Tahoma" w:hAnsi="Tahoma" w:cs="Tahoma"/>
          <w:i/>
          <w:sz w:val="24"/>
          <w:szCs w:val="24"/>
          <w:highlight w:val="yellow"/>
        </w:rPr>
      </w:pPr>
      <w:r w:rsidRPr="006A0FC2">
        <w:rPr>
          <w:rFonts w:ascii="Tahoma" w:hAnsi="Tahoma" w:cs="Tahoma"/>
          <w:i/>
          <w:sz w:val="24"/>
          <w:szCs w:val="24"/>
        </w:rPr>
        <w:t>Compensation</w:t>
      </w:r>
      <w:r w:rsidRPr="00B709E0">
        <w:rPr>
          <w:rFonts w:ascii="Tahoma" w:hAnsi="Tahoma" w:cs="Tahoma"/>
          <w:i/>
          <w:sz w:val="24"/>
          <w:szCs w:val="24"/>
          <w:highlight w:val="yellow"/>
        </w:rPr>
        <w:t xml:space="preserve"> </w:t>
      </w:r>
    </w:p>
    <w:p w:rsidR="00695727" w:rsidRPr="00B709E0" w:rsidRDefault="00695727" w:rsidP="00695727">
      <w:pPr>
        <w:spacing w:after="0" w:line="360" w:lineRule="auto"/>
        <w:ind w:left="360"/>
        <w:jc w:val="both"/>
        <w:rPr>
          <w:rFonts w:ascii="Tahoma" w:hAnsi="Tahoma" w:cs="Tahoma"/>
          <w:sz w:val="24"/>
          <w:szCs w:val="24"/>
          <w:highlight w:val="yellow"/>
        </w:rPr>
      </w:pPr>
    </w:p>
    <w:p w:rsidR="00B709E0" w:rsidRDefault="00B709E0" w:rsidP="00B709E0">
      <w:pPr>
        <w:pStyle w:val="ListParagraph"/>
        <w:numPr>
          <w:ilvl w:val="0"/>
          <w:numId w:val="1"/>
        </w:numPr>
        <w:spacing w:after="160" w:line="360" w:lineRule="auto"/>
        <w:ind w:left="567" w:hanging="567"/>
        <w:jc w:val="both"/>
        <w:rPr>
          <w:rFonts w:ascii="Tahoma" w:hAnsi="Tahoma" w:cs="Tahoma"/>
          <w:color w:val="000000"/>
          <w:sz w:val="24"/>
          <w:szCs w:val="24"/>
          <w:lang w:eastAsia="en-ZW"/>
        </w:rPr>
      </w:pPr>
      <w:r w:rsidRPr="00B709E0">
        <w:rPr>
          <w:rFonts w:ascii="Tahoma" w:hAnsi="Tahoma" w:cs="Tahoma"/>
          <w:color w:val="000000"/>
          <w:sz w:val="24"/>
          <w:szCs w:val="24"/>
          <w:lang w:eastAsia="en-ZW"/>
        </w:rPr>
        <w:t xml:space="preserve">As outlined in the TSP, Government is committed to finalise compensation to all former </w:t>
      </w:r>
      <w:r w:rsidRPr="00B709E0">
        <w:rPr>
          <w:rFonts w:ascii="Tahoma" w:eastAsia="Cambria" w:hAnsi="Tahoma" w:cs="Tahoma"/>
          <w:bCs/>
          <w:sz w:val="24"/>
          <w:szCs w:val="24"/>
        </w:rPr>
        <w:t>farmers</w:t>
      </w:r>
      <w:r w:rsidRPr="00B709E0">
        <w:rPr>
          <w:rFonts w:ascii="Tahoma" w:hAnsi="Tahoma" w:cs="Tahoma"/>
          <w:color w:val="000000"/>
          <w:sz w:val="24"/>
          <w:szCs w:val="24"/>
          <w:lang w:eastAsia="en-ZW"/>
        </w:rPr>
        <w:t xml:space="preserve"> affected by the Land Reform Programme, in accordance with the country’s Constitution and Zimbabwe’s obligations under bilateral agreements.</w:t>
      </w:r>
    </w:p>
    <w:p w:rsidR="00B709E0" w:rsidRDefault="00B709E0" w:rsidP="00B709E0">
      <w:pPr>
        <w:pStyle w:val="ListParagraph"/>
        <w:spacing w:after="160" w:line="360" w:lineRule="auto"/>
        <w:ind w:left="567"/>
        <w:jc w:val="both"/>
        <w:rPr>
          <w:rFonts w:ascii="Tahoma" w:hAnsi="Tahoma" w:cs="Tahoma"/>
          <w:color w:val="000000"/>
          <w:sz w:val="24"/>
          <w:szCs w:val="24"/>
          <w:lang w:eastAsia="en-ZW"/>
        </w:rPr>
      </w:pPr>
    </w:p>
    <w:p w:rsidR="00B709E0" w:rsidRDefault="00B709E0" w:rsidP="00B709E0">
      <w:pPr>
        <w:pStyle w:val="ListParagraph"/>
        <w:numPr>
          <w:ilvl w:val="0"/>
          <w:numId w:val="1"/>
        </w:numPr>
        <w:spacing w:after="160" w:line="360" w:lineRule="auto"/>
        <w:ind w:left="567" w:hanging="567"/>
        <w:jc w:val="both"/>
        <w:rPr>
          <w:rFonts w:ascii="Tahoma" w:hAnsi="Tahoma" w:cs="Tahoma"/>
          <w:color w:val="000000"/>
          <w:sz w:val="24"/>
          <w:szCs w:val="24"/>
          <w:lang w:eastAsia="en-ZW"/>
        </w:rPr>
      </w:pPr>
      <w:r w:rsidRPr="00B709E0">
        <w:rPr>
          <w:rFonts w:ascii="Tahoma" w:hAnsi="Tahoma" w:cs="Tahoma"/>
          <w:color w:val="000000"/>
          <w:sz w:val="24"/>
          <w:szCs w:val="24"/>
          <w:lang w:eastAsia="en-ZW"/>
        </w:rPr>
        <w:t xml:space="preserve">The process </w:t>
      </w:r>
      <w:r>
        <w:rPr>
          <w:rFonts w:ascii="Tahoma" w:hAnsi="Tahoma" w:cs="Tahoma"/>
          <w:color w:val="000000"/>
          <w:sz w:val="24"/>
          <w:szCs w:val="24"/>
          <w:lang w:eastAsia="en-ZW"/>
        </w:rPr>
        <w:t xml:space="preserve">also involves </w:t>
      </w:r>
      <w:r w:rsidRPr="00B709E0">
        <w:rPr>
          <w:rFonts w:ascii="Tahoma" w:hAnsi="Tahoma" w:cs="Tahoma"/>
          <w:color w:val="000000"/>
          <w:sz w:val="24"/>
          <w:szCs w:val="24"/>
          <w:lang w:eastAsia="en-ZW"/>
        </w:rPr>
        <w:t xml:space="preserve">valuation </w:t>
      </w:r>
      <w:r>
        <w:rPr>
          <w:rFonts w:ascii="Tahoma" w:hAnsi="Tahoma" w:cs="Tahoma"/>
          <w:color w:val="000000"/>
          <w:sz w:val="24"/>
          <w:szCs w:val="24"/>
          <w:lang w:eastAsia="en-ZW"/>
        </w:rPr>
        <w:t xml:space="preserve">of assets </w:t>
      </w:r>
      <w:r w:rsidRPr="00B709E0">
        <w:rPr>
          <w:rFonts w:ascii="Tahoma" w:hAnsi="Tahoma" w:cs="Tahoma"/>
          <w:color w:val="000000"/>
          <w:sz w:val="24"/>
          <w:szCs w:val="24"/>
          <w:lang w:eastAsia="en-ZW"/>
        </w:rPr>
        <w:t>to ascertain the extent of Government</w:t>
      </w:r>
      <w:r>
        <w:rPr>
          <w:rFonts w:ascii="Tahoma" w:hAnsi="Tahoma" w:cs="Tahoma"/>
          <w:color w:val="000000"/>
          <w:sz w:val="24"/>
          <w:szCs w:val="24"/>
          <w:lang w:eastAsia="en-ZW"/>
        </w:rPr>
        <w:t>`s obligations t</w:t>
      </w:r>
      <w:r w:rsidRPr="00B709E0">
        <w:rPr>
          <w:rFonts w:ascii="Tahoma" w:hAnsi="Tahoma" w:cs="Tahoma"/>
          <w:color w:val="000000"/>
          <w:sz w:val="24"/>
          <w:szCs w:val="24"/>
          <w:lang w:eastAsia="en-ZW"/>
        </w:rPr>
        <w:t>o former commercial farmers</w:t>
      </w:r>
      <w:r>
        <w:rPr>
          <w:rFonts w:ascii="Tahoma" w:hAnsi="Tahoma" w:cs="Tahoma"/>
          <w:color w:val="000000"/>
          <w:sz w:val="24"/>
          <w:szCs w:val="24"/>
          <w:lang w:eastAsia="en-ZW"/>
        </w:rPr>
        <w:t xml:space="preserve">. Owing to the huge magnitude of resource requirements for this issue, </w:t>
      </w:r>
      <w:r w:rsidRPr="00B709E0">
        <w:rPr>
          <w:rFonts w:ascii="Tahoma" w:hAnsi="Tahoma" w:cs="Tahoma"/>
          <w:color w:val="000000"/>
          <w:sz w:val="24"/>
          <w:szCs w:val="24"/>
          <w:lang w:eastAsia="en-ZW"/>
        </w:rPr>
        <w:t xml:space="preserve">Government is </w:t>
      </w:r>
      <w:r>
        <w:rPr>
          <w:rFonts w:ascii="Tahoma" w:hAnsi="Tahoma" w:cs="Tahoma"/>
          <w:color w:val="000000"/>
          <w:sz w:val="24"/>
          <w:szCs w:val="24"/>
          <w:lang w:eastAsia="en-ZW"/>
        </w:rPr>
        <w:t xml:space="preserve">also engaging </w:t>
      </w:r>
      <w:r w:rsidRPr="00B709E0">
        <w:rPr>
          <w:rFonts w:ascii="Tahoma" w:hAnsi="Tahoma" w:cs="Tahoma"/>
          <w:color w:val="000000"/>
          <w:sz w:val="24"/>
          <w:szCs w:val="24"/>
          <w:lang w:eastAsia="en-ZW"/>
        </w:rPr>
        <w:t>development partners and other relevant bilateral countries</w:t>
      </w:r>
      <w:r w:rsidR="006A0FC2">
        <w:rPr>
          <w:rFonts w:ascii="Tahoma" w:hAnsi="Tahoma" w:cs="Tahoma"/>
          <w:color w:val="000000"/>
          <w:sz w:val="24"/>
          <w:szCs w:val="24"/>
          <w:lang w:eastAsia="en-ZW"/>
        </w:rPr>
        <w:t xml:space="preserve"> with a view of </w:t>
      </w:r>
      <w:r w:rsidR="006A0FC2" w:rsidRPr="00B709E0">
        <w:rPr>
          <w:rFonts w:ascii="Tahoma" w:hAnsi="Tahoma" w:cs="Tahoma"/>
          <w:color w:val="000000"/>
          <w:sz w:val="24"/>
          <w:szCs w:val="24"/>
          <w:lang w:eastAsia="en-ZW"/>
        </w:rPr>
        <w:t xml:space="preserve">mobilising the </w:t>
      </w:r>
      <w:r w:rsidR="006A0FC2">
        <w:rPr>
          <w:rFonts w:ascii="Tahoma" w:hAnsi="Tahoma" w:cs="Tahoma"/>
          <w:color w:val="000000"/>
          <w:sz w:val="24"/>
          <w:szCs w:val="24"/>
          <w:lang w:eastAsia="en-ZW"/>
        </w:rPr>
        <w:t xml:space="preserve">requisite </w:t>
      </w:r>
      <w:r w:rsidR="006A0FC2" w:rsidRPr="00B709E0">
        <w:rPr>
          <w:rFonts w:ascii="Tahoma" w:hAnsi="Tahoma" w:cs="Tahoma"/>
          <w:color w:val="000000"/>
          <w:sz w:val="24"/>
          <w:szCs w:val="24"/>
          <w:lang w:eastAsia="en-ZW"/>
        </w:rPr>
        <w:t>resources</w:t>
      </w:r>
      <w:r w:rsidRPr="00B709E0">
        <w:rPr>
          <w:rFonts w:ascii="Tahoma" w:hAnsi="Tahoma" w:cs="Tahoma"/>
          <w:color w:val="000000"/>
          <w:sz w:val="24"/>
          <w:szCs w:val="24"/>
          <w:lang w:eastAsia="en-ZW"/>
        </w:rPr>
        <w:t>.</w:t>
      </w:r>
    </w:p>
    <w:p w:rsidR="00B709E0" w:rsidRPr="00B709E0" w:rsidRDefault="00B709E0" w:rsidP="00B709E0">
      <w:pPr>
        <w:spacing w:after="0" w:line="360" w:lineRule="auto"/>
        <w:jc w:val="both"/>
        <w:rPr>
          <w:rFonts w:ascii="Tahoma" w:hAnsi="Tahoma" w:cs="Tahoma"/>
          <w:color w:val="000000"/>
          <w:sz w:val="24"/>
          <w:szCs w:val="24"/>
          <w:lang w:eastAsia="en-ZW"/>
        </w:rPr>
      </w:pPr>
    </w:p>
    <w:p w:rsidR="00B709E0" w:rsidRPr="00B709E0" w:rsidRDefault="006A0FC2" w:rsidP="00B709E0">
      <w:pPr>
        <w:pStyle w:val="ListParagraph"/>
        <w:numPr>
          <w:ilvl w:val="0"/>
          <w:numId w:val="1"/>
        </w:numPr>
        <w:spacing w:after="160" w:line="360" w:lineRule="auto"/>
        <w:ind w:left="567" w:hanging="567"/>
        <w:jc w:val="both"/>
        <w:rPr>
          <w:rFonts w:ascii="Tahoma" w:hAnsi="Tahoma" w:cs="Tahoma"/>
          <w:color w:val="000000"/>
          <w:sz w:val="24"/>
          <w:szCs w:val="24"/>
          <w:lang w:eastAsia="en-ZW"/>
        </w:rPr>
      </w:pPr>
      <w:r>
        <w:rPr>
          <w:rFonts w:ascii="Tahoma" w:hAnsi="Tahoma" w:cs="Tahoma"/>
          <w:color w:val="000000"/>
          <w:sz w:val="24"/>
          <w:szCs w:val="24"/>
          <w:lang w:eastAsia="en-ZW"/>
        </w:rPr>
        <w:t>Meanwhile, s</w:t>
      </w:r>
      <w:r w:rsidR="00B709E0" w:rsidRPr="00B709E0">
        <w:rPr>
          <w:rFonts w:ascii="Tahoma" w:hAnsi="Tahoma" w:cs="Tahoma"/>
          <w:color w:val="000000"/>
          <w:sz w:val="24"/>
          <w:szCs w:val="24"/>
          <w:lang w:eastAsia="en-ZW"/>
        </w:rPr>
        <w:t xml:space="preserve">ince 2009 to date, a total of US$60.4 million was paid to 93 former commercial farm owners as compensation for immovable improvements. </w:t>
      </w:r>
      <w:r w:rsidR="007A04A4" w:rsidRPr="00A266D2">
        <w:rPr>
          <w:rFonts w:ascii="Tahoma" w:hAnsi="Tahoma" w:cs="Tahoma"/>
          <w:sz w:val="24"/>
          <w:szCs w:val="24"/>
          <w:lang w:eastAsia="en-ZW"/>
        </w:rPr>
        <w:t>Of this, i</w:t>
      </w:r>
      <w:r w:rsidR="00B709E0" w:rsidRPr="00A266D2">
        <w:rPr>
          <w:rFonts w:ascii="Tahoma" w:hAnsi="Tahoma" w:cs="Tahoma"/>
          <w:sz w:val="24"/>
          <w:szCs w:val="24"/>
          <w:lang w:eastAsia="en-ZW"/>
        </w:rPr>
        <w:t xml:space="preserve">n </w:t>
      </w:r>
      <w:r w:rsidR="00B709E0" w:rsidRPr="00B709E0">
        <w:rPr>
          <w:rFonts w:ascii="Tahoma" w:hAnsi="Tahoma" w:cs="Tahoma"/>
          <w:color w:val="000000"/>
          <w:sz w:val="24"/>
          <w:szCs w:val="24"/>
          <w:lang w:eastAsia="en-ZW"/>
        </w:rPr>
        <w:t xml:space="preserve">2018 alone, US$12 million was paid </w:t>
      </w:r>
      <w:r w:rsidR="00B709E0" w:rsidRPr="00A266D2">
        <w:rPr>
          <w:rFonts w:ascii="Tahoma" w:hAnsi="Tahoma" w:cs="Tahoma"/>
          <w:sz w:val="24"/>
          <w:szCs w:val="24"/>
          <w:lang w:eastAsia="en-ZW"/>
        </w:rPr>
        <w:t xml:space="preserve">towards the same </w:t>
      </w:r>
      <w:r w:rsidR="00B709E0" w:rsidRPr="00B709E0">
        <w:rPr>
          <w:rFonts w:ascii="Tahoma" w:hAnsi="Tahoma" w:cs="Tahoma"/>
          <w:color w:val="000000"/>
          <w:sz w:val="24"/>
          <w:szCs w:val="24"/>
          <w:lang w:eastAsia="en-ZW"/>
        </w:rPr>
        <w:t>to 29 farmers.</w:t>
      </w:r>
    </w:p>
    <w:p w:rsidR="00B709E0" w:rsidRPr="00B709E0" w:rsidRDefault="00B709E0" w:rsidP="00B709E0">
      <w:pPr>
        <w:spacing w:after="0" w:line="360" w:lineRule="auto"/>
        <w:jc w:val="both"/>
        <w:rPr>
          <w:rFonts w:ascii="Tahoma" w:hAnsi="Tahoma" w:cs="Tahoma"/>
          <w:color w:val="000000"/>
          <w:sz w:val="24"/>
          <w:szCs w:val="24"/>
          <w:lang w:eastAsia="en-ZW"/>
        </w:rPr>
      </w:pPr>
    </w:p>
    <w:p w:rsidR="00B709E0" w:rsidRDefault="00B709E0" w:rsidP="00B709E0">
      <w:pPr>
        <w:pStyle w:val="ListParagraph"/>
        <w:numPr>
          <w:ilvl w:val="0"/>
          <w:numId w:val="1"/>
        </w:numPr>
        <w:spacing w:after="160" w:line="360" w:lineRule="auto"/>
        <w:ind w:left="567" w:hanging="567"/>
        <w:jc w:val="both"/>
        <w:rPr>
          <w:rFonts w:ascii="Tahoma" w:hAnsi="Tahoma" w:cs="Tahoma"/>
          <w:color w:val="000000"/>
          <w:sz w:val="24"/>
          <w:szCs w:val="24"/>
          <w:lang w:eastAsia="en-ZW"/>
        </w:rPr>
      </w:pPr>
      <w:r w:rsidRPr="00B709E0">
        <w:rPr>
          <w:rFonts w:ascii="Tahoma" w:hAnsi="Tahoma" w:cs="Tahoma"/>
          <w:color w:val="000000"/>
          <w:sz w:val="24"/>
          <w:szCs w:val="24"/>
          <w:lang w:eastAsia="en-ZW"/>
        </w:rPr>
        <w:t xml:space="preserve">The 2019 National Budget set aside US$53 million for the same purpose targeting the </w:t>
      </w:r>
      <w:r w:rsidRPr="00A266D2">
        <w:rPr>
          <w:rFonts w:ascii="Tahoma" w:hAnsi="Tahoma" w:cs="Tahoma"/>
          <w:sz w:val="24"/>
          <w:szCs w:val="24"/>
          <w:lang w:eastAsia="en-ZW"/>
        </w:rPr>
        <w:t xml:space="preserve">old and the distressed </w:t>
      </w:r>
      <w:r w:rsidRPr="00B709E0">
        <w:rPr>
          <w:rFonts w:ascii="Tahoma" w:hAnsi="Tahoma" w:cs="Tahoma"/>
          <w:color w:val="000000"/>
          <w:sz w:val="24"/>
          <w:szCs w:val="24"/>
          <w:lang w:eastAsia="en-ZW"/>
        </w:rPr>
        <w:t xml:space="preserve">former commercial farmers. Government and </w:t>
      </w:r>
      <w:r w:rsidRPr="00B709E0">
        <w:rPr>
          <w:rFonts w:ascii="Tahoma" w:hAnsi="Tahoma" w:cs="Tahoma"/>
          <w:color w:val="000000"/>
          <w:sz w:val="24"/>
          <w:szCs w:val="24"/>
          <w:lang w:eastAsia="en-ZW"/>
        </w:rPr>
        <w:lastRenderedPageBreak/>
        <w:t>representatives of former farm owners have been working together in identifying qualifying beneficiaries and the process is now complete. Currently,</w:t>
      </w:r>
      <w:r>
        <w:rPr>
          <w:rFonts w:ascii="Tahoma" w:hAnsi="Tahoma" w:cs="Tahoma"/>
          <w:color w:val="000000"/>
          <w:sz w:val="24"/>
          <w:szCs w:val="24"/>
          <w:lang w:eastAsia="en-ZW"/>
        </w:rPr>
        <w:t xml:space="preserve"> Government is in the process</w:t>
      </w:r>
      <w:r w:rsidRPr="00B709E0">
        <w:rPr>
          <w:rFonts w:ascii="Tahoma" w:hAnsi="Tahoma" w:cs="Tahoma"/>
          <w:color w:val="000000"/>
          <w:sz w:val="24"/>
          <w:szCs w:val="24"/>
          <w:lang w:eastAsia="en-ZW"/>
        </w:rPr>
        <w:t xml:space="preserve"> of vetting the identified members</w:t>
      </w:r>
      <w:r>
        <w:rPr>
          <w:rFonts w:ascii="Tahoma" w:hAnsi="Tahoma" w:cs="Tahoma"/>
          <w:color w:val="000000"/>
          <w:sz w:val="24"/>
          <w:szCs w:val="24"/>
          <w:lang w:eastAsia="en-ZW"/>
        </w:rPr>
        <w:t xml:space="preserve"> as a verification exercise to trigger </w:t>
      </w:r>
      <w:r w:rsidRPr="00B709E0">
        <w:rPr>
          <w:rFonts w:ascii="Tahoma" w:hAnsi="Tahoma" w:cs="Tahoma"/>
          <w:color w:val="000000"/>
          <w:sz w:val="24"/>
          <w:szCs w:val="24"/>
          <w:lang w:eastAsia="en-ZW"/>
        </w:rPr>
        <w:t>disbursemen</w:t>
      </w:r>
      <w:r>
        <w:rPr>
          <w:rFonts w:ascii="Tahoma" w:hAnsi="Tahoma" w:cs="Tahoma"/>
          <w:color w:val="000000"/>
          <w:sz w:val="24"/>
          <w:szCs w:val="24"/>
          <w:lang w:eastAsia="en-ZW"/>
        </w:rPr>
        <w:t>ts.</w:t>
      </w:r>
    </w:p>
    <w:p w:rsidR="00F5350D" w:rsidRPr="00F5350D" w:rsidRDefault="00F5350D" w:rsidP="00F5350D">
      <w:pPr>
        <w:pStyle w:val="ListParagraph"/>
        <w:rPr>
          <w:rFonts w:ascii="Tahoma" w:hAnsi="Tahoma" w:cs="Tahoma"/>
          <w:color w:val="000000"/>
          <w:sz w:val="24"/>
          <w:szCs w:val="24"/>
          <w:lang w:eastAsia="en-ZW"/>
        </w:rPr>
      </w:pPr>
    </w:p>
    <w:p w:rsidR="00F5350D" w:rsidRPr="00A266D2" w:rsidRDefault="00F5350D" w:rsidP="00B709E0">
      <w:pPr>
        <w:pStyle w:val="ListParagraph"/>
        <w:numPr>
          <w:ilvl w:val="0"/>
          <w:numId w:val="1"/>
        </w:numPr>
        <w:spacing w:after="160" w:line="360" w:lineRule="auto"/>
        <w:ind w:left="567" w:hanging="567"/>
        <w:jc w:val="both"/>
        <w:rPr>
          <w:rFonts w:ascii="Tahoma" w:hAnsi="Tahoma" w:cs="Tahoma"/>
          <w:sz w:val="24"/>
          <w:szCs w:val="24"/>
          <w:lang w:eastAsia="en-ZW"/>
        </w:rPr>
      </w:pPr>
      <w:r w:rsidRPr="00A266D2">
        <w:rPr>
          <w:rFonts w:ascii="Tahoma" w:hAnsi="Tahoma" w:cs="Tahoma"/>
          <w:sz w:val="24"/>
          <w:szCs w:val="24"/>
          <w:lang w:eastAsia="en-ZW"/>
        </w:rPr>
        <w:t xml:space="preserve">Government would once again want to reiterate that compensating the affected farmers is a noble idea and is in keeping with our </w:t>
      </w:r>
      <w:r w:rsidR="00A266D2" w:rsidRPr="00A266D2">
        <w:rPr>
          <w:rFonts w:ascii="Tahoma" w:hAnsi="Tahoma" w:cs="Tahoma"/>
          <w:sz w:val="24"/>
          <w:szCs w:val="24"/>
          <w:lang w:eastAsia="en-ZW"/>
        </w:rPr>
        <w:t xml:space="preserve">Constitutional </w:t>
      </w:r>
      <w:r w:rsidRPr="00A266D2">
        <w:rPr>
          <w:rFonts w:ascii="Tahoma" w:hAnsi="Tahoma" w:cs="Tahoma"/>
          <w:sz w:val="24"/>
          <w:szCs w:val="24"/>
          <w:lang w:eastAsia="en-ZW"/>
        </w:rPr>
        <w:t>dispensation.</w:t>
      </w:r>
    </w:p>
    <w:p w:rsidR="00B709E0" w:rsidRPr="00A25EDF" w:rsidRDefault="00B709E0" w:rsidP="00B709E0">
      <w:pPr>
        <w:spacing w:after="0" w:line="360" w:lineRule="auto"/>
        <w:jc w:val="both"/>
        <w:rPr>
          <w:rFonts w:ascii="Tahoma" w:hAnsi="Tahoma" w:cs="Tahoma"/>
        </w:rPr>
      </w:pPr>
    </w:p>
    <w:p w:rsidR="00695727" w:rsidRDefault="00695727" w:rsidP="006A0FC2">
      <w:pPr>
        <w:spacing w:line="360" w:lineRule="auto"/>
        <w:ind w:firstLine="567"/>
        <w:jc w:val="both"/>
        <w:rPr>
          <w:rFonts w:ascii="Tahoma" w:hAnsi="Tahoma" w:cs="Tahoma"/>
          <w:i/>
          <w:sz w:val="24"/>
          <w:szCs w:val="24"/>
        </w:rPr>
      </w:pPr>
      <w:r w:rsidRPr="006A0FC2">
        <w:rPr>
          <w:rFonts w:ascii="Tahoma" w:hAnsi="Tahoma" w:cs="Tahoma"/>
          <w:i/>
          <w:sz w:val="24"/>
          <w:szCs w:val="24"/>
        </w:rPr>
        <w:t>Land Audit</w:t>
      </w:r>
    </w:p>
    <w:p w:rsidR="006A0FC2" w:rsidRPr="006A0FC2" w:rsidRDefault="006A0FC2" w:rsidP="006A0FC2">
      <w:pPr>
        <w:spacing w:line="360" w:lineRule="auto"/>
        <w:ind w:firstLine="567"/>
        <w:jc w:val="both"/>
        <w:rPr>
          <w:rFonts w:ascii="Tahoma" w:hAnsi="Tahoma" w:cs="Tahoma"/>
          <w:i/>
          <w:sz w:val="24"/>
          <w:szCs w:val="24"/>
        </w:rPr>
      </w:pPr>
    </w:p>
    <w:p w:rsidR="00A24794" w:rsidRDefault="00A24794" w:rsidP="00A24794">
      <w:pPr>
        <w:pStyle w:val="ListParagraph"/>
        <w:numPr>
          <w:ilvl w:val="0"/>
          <w:numId w:val="1"/>
        </w:numPr>
        <w:spacing w:after="160" w:line="360" w:lineRule="auto"/>
        <w:ind w:left="567" w:hanging="567"/>
        <w:jc w:val="both"/>
        <w:rPr>
          <w:rFonts w:ascii="Tahoma" w:hAnsi="Tahoma" w:cs="Tahoma"/>
          <w:sz w:val="24"/>
          <w:szCs w:val="24"/>
        </w:rPr>
      </w:pPr>
      <w:bookmarkStart w:id="3" w:name="_Toc8301952"/>
      <w:r>
        <w:rPr>
          <w:rFonts w:ascii="Tahoma" w:hAnsi="Tahoma" w:cs="Tahoma"/>
          <w:sz w:val="24"/>
          <w:szCs w:val="24"/>
        </w:rPr>
        <w:t xml:space="preserve">In 2018, His Excellency, </w:t>
      </w:r>
      <w:r w:rsidRPr="00A24794">
        <w:rPr>
          <w:rFonts w:ascii="Tahoma" w:hAnsi="Tahoma" w:cs="Tahoma"/>
          <w:sz w:val="24"/>
          <w:szCs w:val="24"/>
        </w:rPr>
        <w:t>President</w:t>
      </w:r>
      <w:r>
        <w:rPr>
          <w:rFonts w:ascii="Tahoma" w:hAnsi="Tahoma" w:cs="Tahoma"/>
          <w:sz w:val="24"/>
          <w:szCs w:val="24"/>
        </w:rPr>
        <w:t xml:space="preserve"> </w:t>
      </w:r>
      <w:r w:rsidRPr="00A24794">
        <w:rPr>
          <w:rFonts w:ascii="Tahoma" w:hAnsi="Tahoma" w:cs="Tahoma"/>
          <w:sz w:val="24"/>
          <w:szCs w:val="24"/>
        </w:rPr>
        <w:t>Emmerson Mnangagwa ordered an expeditious completion of the land audit, which is expected to rationalise ownership and farm sizes</w:t>
      </w:r>
      <w:r>
        <w:rPr>
          <w:rFonts w:ascii="Tahoma" w:hAnsi="Tahoma" w:cs="Tahoma"/>
          <w:sz w:val="24"/>
          <w:szCs w:val="24"/>
        </w:rPr>
        <w:t xml:space="preserve">. </w:t>
      </w:r>
    </w:p>
    <w:p w:rsidR="00346464" w:rsidRDefault="00346464" w:rsidP="00346464">
      <w:pPr>
        <w:pStyle w:val="ListParagraph"/>
        <w:spacing w:after="160" w:line="360" w:lineRule="auto"/>
        <w:ind w:left="567"/>
        <w:jc w:val="both"/>
        <w:rPr>
          <w:rFonts w:ascii="Tahoma" w:hAnsi="Tahoma" w:cs="Tahoma"/>
          <w:sz w:val="24"/>
          <w:szCs w:val="24"/>
        </w:rPr>
      </w:pPr>
    </w:p>
    <w:p w:rsidR="00346464" w:rsidRDefault="00A24794" w:rsidP="00A24794">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Consequently,</w:t>
      </w:r>
      <w:r w:rsidRPr="00A24794">
        <w:rPr>
          <w:rFonts w:ascii="Tahoma" w:hAnsi="Tahoma" w:cs="Tahoma"/>
          <w:sz w:val="24"/>
          <w:szCs w:val="24"/>
        </w:rPr>
        <w:t xml:space="preserve"> </w:t>
      </w:r>
      <w:r w:rsidR="00346464">
        <w:rPr>
          <w:rFonts w:ascii="Tahoma" w:hAnsi="Tahoma" w:cs="Tahoma"/>
          <w:sz w:val="24"/>
          <w:szCs w:val="24"/>
        </w:rPr>
        <w:t>t</w:t>
      </w:r>
      <w:r w:rsidRPr="00A24794">
        <w:rPr>
          <w:rFonts w:ascii="Tahoma" w:hAnsi="Tahoma" w:cs="Tahoma"/>
          <w:sz w:val="24"/>
          <w:szCs w:val="24"/>
        </w:rPr>
        <w:t>he Zimbabwe Land Commission (ZLC),</w:t>
      </w:r>
      <w:r>
        <w:rPr>
          <w:rFonts w:ascii="Tahoma" w:hAnsi="Tahoma" w:cs="Tahoma"/>
          <w:sz w:val="24"/>
          <w:szCs w:val="24"/>
        </w:rPr>
        <w:t xml:space="preserve"> undertook the </w:t>
      </w:r>
      <w:r w:rsidRPr="00A24794">
        <w:rPr>
          <w:rFonts w:ascii="Tahoma" w:hAnsi="Tahoma" w:cs="Tahoma"/>
          <w:sz w:val="24"/>
          <w:szCs w:val="24"/>
        </w:rPr>
        <w:t>first phase of the National Agricultural Land Audit</w:t>
      </w:r>
      <w:r>
        <w:rPr>
          <w:rFonts w:ascii="Tahoma" w:hAnsi="Tahoma" w:cs="Tahoma"/>
          <w:sz w:val="24"/>
          <w:szCs w:val="24"/>
        </w:rPr>
        <w:t xml:space="preserve"> </w:t>
      </w:r>
      <w:r w:rsidR="00346464">
        <w:rPr>
          <w:rFonts w:ascii="Tahoma" w:hAnsi="Tahoma" w:cs="Tahoma"/>
          <w:sz w:val="24"/>
          <w:szCs w:val="24"/>
        </w:rPr>
        <w:t>which was</w:t>
      </w:r>
      <w:r w:rsidRPr="00A24794">
        <w:rPr>
          <w:rFonts w:ascii="Tahoma" w:hAnsi="Tahoma" w:cs="Tahoma"/>
          <w:sz w:val="24"/>
          <w:szCs w:val="24"/>
        </w:rPr>
        <w:t xml:space="preserve"> conducted in 10 districts across the country’s 10 provinces between October and November last year</w:t>
      </w:r>
      <w:r>
        <w:rPr>
          <w:rFonts w:ascii="Tahoma" w:hAnsi="Tahoma" w:cs="Tahoma"/>
          <w:sz w:val="24"/>
          <w:szCs w:val="24"/>
        </w:rPr>
        <w:t xml:space="preserve">. This only constituted </w:t>
      </w:r>
      <w:r w:rsidRPr="00A24794">
        <w:rPr>
          <w:rFonts w:ascii="Tahoma" w:hAnsi="Tahoma" w:cs="Tahoma"/>
          <w:sz w:val="24"/>
          <w:szCs w:val="24"/>
        </w:rPr>
        <w:t>6 percent of the targeted land</w:t>
      </w:r>
      <w:r>
        <w:rPr>
          <w:rFonts w:ascii="Tahoma" w:hAnsi="Tahoma" w:cs="Tahoma"/>
          <w:sz w:val="24"/>
          <w:szCs w:val="24"/>
        </w:rPr>
        <w:t xml:space="preserve">, covering more than 18 000 farmers. </w:t>
      </w:r>
    </w:p>
    <w:p w:rsidR="00346464" w:rsidRDefault="00346464" w:rsidP="00346464">
      <w:pPr>
        <w:pStyle w:val="ListParagraph"/>
        <w:spacing w:after="160" w:line="360" w:lineRule="auto"/>
        <w:ind w:left="567"/>
        <w:jc w:val="both"/>
        <w:rPr>
          <w:rFonts w:ascii="Tahoma" w:hAnsi="Tahoma" w:cs="Tahoma"/>
          <w:sz w:val="24"/>
          <w:szCs w:val="24"/>
        </w:rPr>
      </w:pPr>
    </w:p>
    <w:p w:rsidR="00A24794" w:rsidRPr="00346464" w:rsidRDefault="00346464" w:rsidP="00A24794">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 xml:space="preserve">The audit indicated </w:t>
      </w:r>
      <w:r w:rsidR="00A24794" w:rsidRPr="00A24794">
        <w:rPr>
          <w:rFonts w:ascii="Tahoma" w:hAnsi="Tahoma" w:cs="Tahoma"/>
          <w:sz w:val="24"/>
          <w:szCs w:val="24"/>
        </w:rPr>
        <w:t xml:space="preserve">gross underfunding of the agricultural sector and </w:t>
      </w:r>
      <w:r>
        <w:rPr>
          <w:rFonts w:ascii="Tahoma" w:hAnsi="Tahoma" w:cs="Tahoma"/>
          <w:sz w:val="24"/>
          <w:szCs w:val="24"/>
        </w:rPr>
        <w:t xml:space="preserve">recommended </w:t>
      </w:r>
      <w:r w:rsidR="00A24794" w:rsidRPr="00A24794">
        <w:rPr>
          <w:rFonts w:ascii="Tahoma" w:hAnsi="Tahoma" w:cs="Tahoma"/>
          <w:sz w:val="24"/>
          <w:szCs w:val="24"/>
        </w:rPr>
        <w:t>the establishment of a Land and Agricultural Bank to facilitate funding for resettled farmers</w:t>
      </w:r>
      <w:r>
        <w:rPr>
          <w:rFonts w:ascii="Tahoma" w:hAnsi="Tahoma" w:cs="Tahoma"/>
          <w:sz w:val="24"/>
          <w:szCs w:val="24"/>
        </w:rPr>
        <w:t xml:space="preserve">. </w:t>
      </w:r>
      <w:r w:rsidR="00A24794">
        <w:rPr>
          <w:rFonts w:ascii="Tahoma" w:hAnsi="Tahoma" w:cs="Tahoma"/>
          <w:sz w:val="24"/>
          <w:szCs w:val="24"/>
        </w:rPr>
        <w:t xml:space="preserve"> </w:t>
      </w:r>
      <w:r>
        <w:rPr>
          <w:rFonts w:ascii="Tahoma" w:hAnsi="Tahoma" w:cs="Tahoma"/>
          <w:sz w:val="24"/>
          <w:szCs w:val="24"/>
        </w:rPr>
        <w:t xml:space="preserve">It further recommended </w:t>
      </w:r>
      <w:r w:rsidR="00A24794" w:rsidRPr="00346464">
        <w:rPr>
          <w:rFonts w:ascii="Tahoma" w:hAnsi="Tahoma" w:cs="Tahoma"/>
          <w:sz w:val="24"/>
          <w:szCs w:val="24"/>
        </w:rPr>
        <w:t xml:space="preserve">an integrated Land Information Management System (LIMS) </w:t>
      </w:r>
      <w:r>
        <w:rPr>
          <w:rFonts w:ascii="Tahoma" w:hAnsi="Tahoma" w:cs="Tahoma"/>
          <w:sz w:val="24"/>
          <w:szCs w:val="24"/>
        </w:rPr>
        <w:t xml:space="preserve">to address shortcomings related to </w:t>
      </w:r>
      <w:r w:rsidR="00A24794" w:rsidRPr="00346464">
        <w:rPr>
          <w:rFonts w:ascii="Tahoma" w:hAnsi="Tahoma" w:cs="Tahoma"/>
          <w:sz w:val="24"/>
          <w:szCs w:val="24"/>
        </w:rPr>
        <w:t>fraudulent land allocations, rampant illegal leasing of land parcels and gross underutilisation, which is materially affecting agricultural output.</w:t>
      </w:r>
    </w:p>
    <w:p w:rsidR="00A24794" w:rsidRPr="00A24794" w:rsidRDefault="00A24794" w:rsidP="00A24794">
      <w:pPr>
        <w:pStyle w:val="Heading2"/>
        <w:rPr>
          <w:rFonts w:eastAsia="Calibri" w:cs="Tahoma"/>
          <w:b w:val="0"/>
          <w:bCs w:val="0"/>
          <w:iCs w:val="0"/>
          <w:sz w:val="24"/>
          <w:szCs w:val="24"/>
          <w:lang w:val="en-ZW" w:eastAsia="en-US"/>
        </w:rPr>
      </w:pPr>
    </w:p>
    <w:p w:rsidR="00A24794" w:rsidRPr="00A24794" w:rsidRDefault="00346464" w:rsidP="00346464">
      <w:pPr>
        <w:pStyle w:val="ListParagraph"/>
        <w:numPr>
          <w:ilvl w:val="0"/>
          <w:numId w:val="1"/>
        </w:numPr>
        <w:spacing w:after="160" w:line="360" w:lineRule="auto"/>
        <w:ind w:left="567" w:hanging="567"/>
        <w:jc w:val="both"/>
        <w:rPr>
          <w:rFonts w:ascii="Tahoma" w:hAnsi="Tahoma" w:cs="Tahoma"/>
          <w:sz w:val="24"/>
          <w:szCs w:val="24"/>
        </w:rPr>
      </w:pPr>
      <w:r w:rsidRPr="00346464">
        <w:rPr>
          <w:rFonts w:ascii="Tahoma" w:hAnsi="Tahoma" w:cs="Tahoma"/>
          <w:sz w:val="24"/>
          <w:szCs w:val="24"/>
        </w:rPr>
        <w:t xml:space="preserve">Preparations for the </w:t>
      </w:r>
      <w:r w:rsidR="00A24794" w:rsidRPr="00A24794">
        <w:rPr>
          <w:rFonts w:ascii="Tahoma" w:hAnsi="Tahoma" w:cs="Tahoma"/>
          <w:sz w:val="24"/>
          <w:szCs w:val="24"/>
        </w:rPr>
        <w:t xml:space="preserve">second phase would </w:t>
      </w:r>
      <w:r w:rsidRPr="00346464">
        <w:rPr>
          <w:rFonts w:ascii="Tahoma" w:hAnsi="Tahoma" w:cs="Tahoma"/>
          <w:sz w:val="24"/>
          <w:szCs w:val="24"/>
        </w:rPr>
        <w:t xml:space="preserve">be rolled out </w:t>
      </w:r>
      <w:r w:rsidR="00A24794" w:rsidRPr="00A24794">
        <w:rPr>
          <w:rFonts w:ascii="Tahoma" w:hAnsi="Tahoma" w:cs="Tahoma"/>
          <w:sz w:val="24"/>
          <w:szCs w:val="24"/>
        </w:rPr>
        <w:t>at the end of May</w:t>
      </w:r>
      <w:r w:rsidRPr="00346464">
        <w:rPr>
          <w:rFonts w:ascii="Tahoma" w:hAnsi="Tahoma" w:cs="Tahoma"/>
          <w:sz w:val="24"/>
          <w:szCs w:val="24"/>
        </w:rPr>
        <w:t xml:space="preserve"> </w:t>
      </w:r>
      <w:r w:rsidR="00A24794" w:rsidRPr="00A24794">
        <w:rPr>
          <w:rFonts w:ascii="Tahoma" w:hAnsi="Tahoma" w:cs="Tahoma"/>
          <w:sz w:val="24"/>
          <w:szCs w:val="24"/>
        </w:rPr>
        <w:t xml:space="preserve">in all the </w:t>
      </w:r>
      <w:r w:rsidRPr="00A266D2">
        <w:rPr>
          <w:rFonts w:ascii="Tahoma" w:hAnsi="Tahoma" w:cs="Tahoma"/>
          <w:sz w:val="24"/>
          <w:szCs w:val="24"/>
        </w:rPr>
        <w:t xml:space="preserve">remaining </w:t>
      </w:r>
      <w:r w:rsidR="003F6F27" w:rsidRPr="00A266D2">
        <w:rPr>
          <w:rFonts w:ascii="Tahoma" w:hAnsi="Tahoma" w:cs="Tahoma"/>
          <w:sz w:val="24"/>
          <w:szCs w:val="24"/>
        </w:rPr>
        <w:t>districts across the country’s 10 provinces</w:t>
      </w:r>
      <w:r>
        <w:rPr>
          <w:rFonts w:cs="Tahoma"/>
          <w:b/>
          <w:bCs/>
          <w:iCs/>
          <w:sz w:val="24"/>
          <w:szCs w:val="24"/>
        </w:rPr>
        <w:t>.</w:t>
      </w:r>
    </w:p>
    <w:p w:rsidR="00A24794" w:rsidRPr="00A24794" w:rsidRDefault="00A24794" w:rsidP="00A24794">
      <w:pPr>
        <w:pStyle w:val="Heading2"/>
        <w:rPr>
          <w:rFonts w:eastAsia="Calibri" w:cs="Tahoma"/>
          <w:b w:val="0"/>
          <w:bCs w:val="0"/>
          <w:iCs w:val="0"/>
          <w:sz w:val="24"/>
          <w:szCs w:val="24"/>
          <w:lang w:val="en-ZW" w:eastAsia="en-US"/>
        </w:rPr>
      </w:pPr>
    </w:p>
    <w:p w:rsidR="00A24794" w:rsidRPr="00B709E0" w:rsidRDefault="00346464" w:rsidP="00B709E0">
      <w:pPr>
        <w:pStyle w:val="ListParagraph"/>
        <w:numPr>
          <w:ilvl w:val="0"/>
          <w:numId w:val="1"/>
        </w:numPr>
        <w:spacing w:after="160" w:line="360" w:lineRule="auto"/>
        <w:ind w:left="567" w:hanging="567"/>
        <w:jc w:val="both"/>
        <w:rPr>
          <w:rFonts w:ascii="Tahoma" w:hAnsi="Tahoma" w:cs="Tahoma"/>
          <w:sz w:val="24"/>
          <w:szCs w:val="24"/>
        </w:rPr>
      </w:pPr>
      <w:r w:rsidRPr="00B709E0">
        <w:rPr>
          <w:rFonts w:ascii="Tahoma" w:hAnsi="Tahoma" w:cs="Tahoma"/>
          <w:sz w:val="24"/>
          <w:szCs w:val="24"/>
        </w:rPr>
        <w:t xml:space="preserve">The land audit </w:t>
      </w:r>
      <w:r w:rsidR="00A24794" w:rsidRPr="00A24794">
        <w:rPr>
          <w:rFonts w:ascii="Tahoma" w:hAnsi="Tahoma" w:cs="Tahoma"/>
          <w:sz w:val="24"/>
          <w:szCs w:val="24"/>
        </w:rPr>
        <w:t>will help inform Government’s agricultural policies</w:t>
      </w:r>
      <w:r w:rsidRPr="00B709E0">
        <w:rPr>
          <w:rFonts w:ascii="Tahoma" w:hAnsi="Tahoma" w:cs="Tahoma"/>
          <w:sz w:val="24"/>
          <w:szCs w:val="24"/>
        </w:rPr>
        <w:t xml:space="preserve">, development of strategies for increasing </w:t>
      </w:r>
      <w:r w:rsidR="00A24794" w:rsidRPr="00A24794">
        <w:rPr>
          <w:rFonts w:ascii="Tahoma" w:hAnsi="Tahoma" w:cs="Tahoma"/>
          <w:sz w:val="24"/>
          <w:szCs w:val="24"/>
        </w:rPr>
        <w:t>productivity</w:t>
      </w:r>
      <w:r w:rsidRPr="00B709E0">
        <w:rPr>
          <w:rFonts w:ascii="Tahoma" w:hAnsi="Tahoma" w:cs="Tahoma"/>
          <w:sz w:val="24"/>
          <w:szCs w:val="24"/>
        </w:rPr>
        <w:t xml:space="preserve"> and also promote </w:t>
      </w:r>
      <w:r w:rsidR="00A24794" w:rsidRPr="00A24794">
        <w:rPr>
          <w:rFonts w:ascii="Tahoma" w:hAnsi="Tahoma" w:cs="Tahoma"/>
          <w:sz w:val="24"/>
          <w:szCs w:val="24"/>
        </w:rPr>
        <w:t>social equity and environmental sustainability.</w:t>
      </w:r>
    </w:p>
    <w:p w:rsidR="00A24794" w:rsidRDefault="00A24794" w:rsidP="00A24794">
      <w:pPr>
        <w:pStyle w:val="Heading2"/>
        <w:rPr>
          <w:rFonts w:ascii="Georgia" w:eastAsia="Calibri" w:hAnsi="Georgia"/>
          <w:b w:val="0"/>
          <w:bCs w:val="0"/>
          <w:iCs w:val="0"/>
          <w:color w:val="000000"/>
          <w:spacing w:val="7"/>
          <w:sz w:val="23"/>
          <w:szCs w:val="23"/>
          <w:lang w:val="en-ZW" w:eastAsia="en-US"/>
        </w:rPr>
      </w:pPr>
    </w:p>
    <w:p w:rsidR="00695727" w:rsidRPr="00CD2B56" w:rsidRDefault="00695727" w:rsidP="006A0FC2">
      <w:pPr>
        <w:pStyle w:val="Heading2"/>
        <w:ind w:firstLine="567"/>
        <w:rPr>
          <w:rFonts w:cs="Tahoma"/>
          <w:sz w:val="24"/>
          <w:szCs w:val="24"/>
        </w:rPr>
      </w:pPr>
      <w:r w:rsidRPr="00CD2B56">
        <w:rPr>
          <w:rFonts w:cs="Tahoma"/>
          <w:sz w:val="24"/>
          <w:szCs w:val="24"/>
        </w:rPr>
        <w:t>Mining</w:t>
      </w:r>
      <w:bookmarkEnd w:id="3"/>
      <w:r w:rsidRPr="00CD2B56">
        <w:rPr>
          <w:rFonts w:cs="Tahoma"/>
          <w:sz w:val="24"/>
          <w:szCs w:val="24"/>
        </w:rPr>
        <w:t xml:space="preserve"> </w:t>
      </w:r>
    </w:p>
    <w:p w:rsidR="00695727" w:rsidRPr="00CD2B56" w:rsidRDefault="00695727" w:rsidP="00695727">
      <w:pPr>
        <w:spacing w:after="0" w:line="360" w:lineRule="auto"/>
        <w:contextualSpacing/>
        <w:jc w:val="both"/>
        <w:rPr>
          <w:rFonts w:ascii="Tahoma" w:eastAsia="Calibri" w:hAnsi="Tahoma" w:cs="Tahoma"/>
          <w:sz w:val="24"/>
          <w:szCs w:val="24"/>
          <w:lang w:val="en-ZW" w:eastAsia="x-none"/>
        </w:rPr>
      </w:pPr>
    </w:p>
    <w:p w:rsidR="00695727" w:rsidRDefault="00695727" w:rsidP="00695727">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 xml:space="preserve">Government is seized with </w:t>
      </w:r>
      <w:r w:rsidRPr="00CD2B56">
        <w:rPr>
          <w:rFonts w:ascii="Tahoma" w:hAnsi="Tahoma" w:cs="Tahoma"/>
          <w:sz w:val="24"/>
          <w:szCs w:val="24"/>
        </w:rPr>
        <w:t>address</w:t>
      </w:r>
      <w:r>
        <w:rPr>
          <w:rFonts w:ascii="Tahoma" w:hAnsi="Tahoma" w:cs="Tahoma"/>
          <w:sz w:val="24"/>
          <w:szCs w:val="24"/>
        </w:rPr>
        <w:t>ing</w:t>
      </w:r>
      <w:r w:rsidRPr="00CD2B56">
        <w:rPr>
          <w:rFonts w:ascii="Tahoma" w:hAnsi="Tahoma" w:cs="Tahoma"/>
          <w:sz w:val="24"/>
          <w:szCs w:val="24"/>
        </w:rPr>
        <w:t xml:space="preserve"> challenges facing the </w:t>
      </w:r>
      <w:r>
        <w:rPr>
          <w:rFonts w:ascii="Tahoma" w:hAnsi="Tahoma" w:cs="Tahoma"/>
          <w:sz w:val="24"/>
          <w:szCs w:val="24"/>
        </w:rPr>
        <w:t xml:space="preserve">mining </w:t>
      </w:r>
      <w:r w:rsidRPr="00CD2B56">
        <w:rPr>
          <w:rFonts w:ascii="Tahoma" w:hAnsi="Tahoma" w:cs="Tahoma"/>
          <w:sz w:val="24"/>
          <w:szCs w:val="24"/>
        </w:rPr>
        <w:t>sector</w:t>
      </w:r>
      <w:r>
        <w:rPr>
          <w:rFonts w:ascii="Tahoma" w:hAnsi="Tahoma" w:cs="Tahoma"/>
          <w:sz w:val="24"/>
          <w:szCs w:val="24"/>
        </w:rPr>
        <w:t xml:space="preserve"> and this mainly relate to foreign currency shortages. The objective is to reverse output losses experienced during the first quarter where </w:t>
      </w:r>
      <w:r w:rsidRPr="00CD2B56">
        <w:rPr>
          <w:rFonts w:ascii="Tahoma" w:hAnsi="Tahoma" w:cs="Tahoma"/>
          <w:sz w:val="24"/>
          <w:szCs w:val="24"/>
        </w:rPr>
        <w:t xml:space="preserve">all minerals except for </w:t>
      </w:r>
      <w:r>
        <w:rPr>
          <w:rFonts w:ascii="Tahoma" w:hAnsi="Tahoma" w:cs="Tahoma"/>
          <w:sz w:val="24"/>
          <w:szCs w:val="24"/>
        </w:rPr>
        <w:t>chrome</w:t>
      </w:r>
      <w:r w:rsidRPr="00CD2B56">
        <w:rPr>
          <w:rFonts w:ascii="Tahoma" w:hAnsi="Tahoma" w:cs="Tahoma"/>
          <w:sz w:val="24"/>
          <w:szCs w:val="24"/>
        </w:rPr>
        <w:t xml:space="preserve"> were subdued</w:t>
      </w:r>
      <w:r>
        <w:rPr>
          <w:rFonts w:ascii="Tahoma" w:hAnsi="Tahoma" w:cs="Tahoma"/>
          <w:sz w:val="24"/>
          <w:szCs w:val="24"/>
        </w:rPr>
        <w:t xml:space="preserve"> compared to the similar quarter of 2018</w:t>
      </w:r>
      <w:r w:rsidRPr="00CD2B56">
        <w:rPr>
          <w:rFonts w:ascii="Tahoma" w:hAnsi="Tahoma" w:cs="Tahoma"/>
          <w:sz w:val="24"/>
          <w:szCs w:val="24"/>
        </w:rPr>
        <w:t>.</w:t>
      </w:r>
    </w:p>
    <w:p w:rsidR="00695727" w:rsidRDefault="00695727" w:rsidP="00695727">
      <w:pPr>
        <w:pStyle w:val="ListParagraph"/>
        <w:spacing w:after="160" w:line="360" w:lineRule="auto"/>
        <w:ind w:left="567"/>
        <w:jc w:val="both"/>
        <w:rPr>
          <w:rFonts w:ascii="Tahoma" w:hAnsi="Tahoma" w:cs="Tahoma"/>
          <w:sz w:val="24"/>
          <w:szCs w:val="24"/>
        </w:rPr>
      </w:pPr>
    </w:p>
    <w:p w:rsidR="00695727" w:rsidRDefault="00695727" w:rsidP="00695727">
      <w:pPr>
        <w:spacing w:after="0" w:line="360" w:lineRule="auto"/>
        <w:ind w:firstLine="567"/>
        <w:contextualSpacing/>
        <w:jc w:val="both"/>
        <w:rPr>
          <w:rFonts w:ascii="Tahoma" w:eastAsia="Calibri" w:hAnsi="Tahoma" w:cs="Tahoma"/>
          <w:b/>
          <w:sz w:val="24"/>
          <w:szCs w:val="24"/>
          <w:lang w:val="en-ZW" w:eastAsia="x-none"/>
        </w:rPr>
      </w:pPr>
      <w:r>
        <w:rPr>
          <w:rFonts w:ascii="Tahoma" w:eastAsia="Calibri" w:hAnsi="Tahoma" w:cs="Tahoma"/>
          <w:b/>
          <w:sz w:val="24"/>
          <w:szCs w:val="24"/>
          <w:lang w:val="en-ZW" w:eastAsia="x-none"/>
        </w:rPr>
        <w:t xml:space="preserve">Quarterly </w:t>
      </w:r>
      <w:r w:rsidRPr="00CD2B56">
        <w:rPr>
          <w:rFonts w:ascii="Tahoma" w:eastAsia="Calibri" w:hAnsi="Tahoma" w:cs="Tahoma"/>
          <w:b/>
          <w:sz w:val="24"/>
          <w:szCs w:val="24"/>
          <w:lang w:val="en-ZW" w:eastAsia="x-none"/>
        </w:rPr>
        <w:t>Mineral</w:t>
      </w:r>
      <w:r>
        <w:rPr>
          <w:rFonts w:ascii="Tahoma" w:eastAsia="Calibri" w:hAnsi="Tahoma" w:cs="Tahoma"/>
          <w:b/>
          <w:sz w:val="24"/>
          <w:szCs w:val="24"/>
          <w:lang w:val="en-ZW" w:eastAsia="x-none"/>
        </w:rPr>
        <w:t>s</w:t>
      </w:r>
      <w:r w:rsidRPr="00CD2B56">
        <w:rPr>
          <w:rFonts w:ascii="Tahoma" w:eastAsia="Calibri" w:hAnsi="Tahoma" w:cs="Tahoma"/>
          <w:b/>
          <w:sz w:val="24"/>
          <w:szCs w:val="24"/>
          <w:lang w:val="en-ZW" w:eastAsia="x-none"/>
        </w:rPr>
        <w:t xml:space="preserve"> </w:t>
      </w:r>
      <w:r>
        <w:rPr>
          <w:rFonts w:ascii="Tahoma" w:eastAsia="Calibri" w:hAnsi="Tahoma" w:cs="Tahoma"/>
          <w:b/>
          <w:sz w:val="24"/>
          <w:szCs w:val="24"/>
          <w:lang w:val="en-ZW" w:eastAsia="x-none"/>
        </w:rPr>
        <w:t xml:space="preserve">Output </w:t>
      </w:r>
    </w:p>
    <w:tbl>
      <w:tblPr>
        <w:tblStyle w:val="GridTable4-Accent53"/>
        <w:tblW w:w="8647" w:type="dxa"/>
        <w:tblInd w:w="562" w:type="dxa"/>
        <w:tblLook w:val="04A0" w:firstRow="1" w:lastRow="0" w:firstColumn="1" w:lastColumn="0" w:noHBand="0" w:noVBand="1"/>
      </w:tblPr>
      <w:tblGrid>
        <w:gridCol w:w="2127"/>
        <w:gridCol w:w="1842"/>
        <w:gridCol w:w="1418"/>
        <w:gridCol w:w="1559"/>
        <w:gridCol w:w="1701"/>
      </w:tblGrid>
      <w:tr w:rsidR="006A0FC2" w:rsidRPr="00CE26F7" w:rsidTr="006A0FC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rsidR="006A0FC2" w:rsidRPr="00CE26F7" w:rsidRDefault="006A0FC2" w:rsidP="00927493">
            <w:pPr>
              <w:spacing w:after="0" w:line="240" w:lineRule="auto"/>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 </w:t>
            </w:r>
          </w:p>
        </w:tc>
        <w:tc>
          <w:tcPr>
            <w:tcW w:w="1842" w:type="dxa"/>
            <w:noWrap/>
            <w:hideMark/>
          </w:tcPr>
          <w:p w:rsidR="006A0FC2" w:rsidRPr="00CE26F7" w:rsidRDefault="006A0FC2" w:rsidP="0092749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2016</w:t>
            </w:r>
            <w:r>
              <w:rPr>
                <w:rFonts w:ascii="Calibri" w:eastAsia="Times New Roman" w:hAnsi="Calibri" w:cs="Calibri"/>
                <w:color w:val="000000"/>
                <w:lang w:val="en-ZW" w:eastAsia="en-ZW"/>
              </w:rPr>
              <w:t xml:space="preserve"> Q1</w:t>
            </w:r>
          </w:p>
        </w:tc>
        <w:tc>
          <w:tcPr>
            <w:tcW w:w="1418" w:type="dxa"/>
            <w:noWrap/>
            <w:hideMark/>
          </w:tcPr>
          <w:p w:rsidR="006A0FC2" w:rsidRPr="00CE26F7" w:rsidRDefault="006A0FC2" w:rsidP="0092749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2017</w:t>
            </w:r>
            <w:r>
              <w:rPr>
                <w:rFonts w:ascii="Calibri" w:eastAsia="Times New Roman" w:hAnsi="Calibri" w:cs="Calibri"/>
                <w:color w:val="000000"/>
                <w:lang w:val="en-ZW" w:eastAsia="en-ZW"/>
              </w:rPr>
              <w:t xml:space="preserve"> Q1</w:t>
            </w:r>
          </w:p>
        </w:tc>
        <w:tc>
          <w:tcPr>
            <w:tcW w:w="1559" w:type="dxa"/>
            <w:noWrap/>
            <w:hideMark/>
          </w:tcPr>
          <w:p w:rsidR="006A0FC2" w:rsidRPr="00CE26F7" w:rsidRDefault="006A0FC2" w:rsidP="0092749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2018</w:t>
            </w:r>
            <w:r>
              <w:rPr>
                <w:rFonts w:ascii="Calibri" w:eastAsia="Times New Roman" w:hAnsi="Calibri" w:cs="Calibri"/>
                <w:color w:val="000000"/>
                <w:lang w:val="en-ZW" w:eastAsia="en-ZW"/>
              </w:rPr>
              <w:t xml:space="preserve"> Q1</w:t>
            </w:r>
          </w:p>
        </w:tc>
        <w:tc>
          <w:tcPr>
            <w:tcW w:w="1701" w:type="dxa"/>
            <w:noWrap/>
            <w:hideMark/>
          </w:tcPr>
          <w:p w:rsidR="006A0FC2" w:rsidRPr="00CE26F7" w:rsidRDefault="006A0FC2" w:rsidP="00927493">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2019</w:t>
            </w:r>
            <w:r>
              <w:rPr>
                <w:rFonts w:ascii="Calibri" w:eastAsia="Times New Roman" w:hAnsi="Calibri" w:cs="Calibri"/>
                <w:color w:val="000000"/>
                <w:lang w:val="en-ZW" w:eastAsia="en-ZW"/>
              </w:rPr>
              <w:t xml:space="preserve"> Q1</w:t>
            </w:r>
          </w:p>
        </w:tc>
      </w:tr>
      <w:tr w:rsidR="006A0FC2" w:rsidRPr="00CE26F7" w:rsidTr="006A0F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rsidR="006A0FC2" w:rsidRPr="00CE26F7" w:rsidRDefault="006A0FC2" w:rsidP="00927493">
            <w:pPr>
              <w:spacing w:after="0" w:line="240" w:lineRule="auto"/>
              <w:rPr>
                <w:rFonts w:ascii="Calibri" w:eastAsia="Times New Roman" w:hAnsi="Calibri" w:cs="Calibri"/>
                <w:lang w:val="en-ZW" w:eastAsia="en-ZW"/>
              </w:rPr>
            </w:pPr>
            <w:r w:rsidRPr="00CE26F7">
              <w:rPr>
                <w:rFonts w:ascii="Calibri" w:eastAsia="Times New Roman" w:hAnsi="Calibri" w:cs="Calibri"/>
                <w:lang w:val="en-ZW" w:eastAsia="en-ZW"/>
              </w:rPr>
              <w:t xml:space="preserve">Gold/kg </w:t>
            </w:r>
          </w:p>
        </w:tc>
        <w:tc>
          <w:tcPr>
            <w:tcW w:w="1842" w:type="dxa"/>
            <w:noWrap/>
            <w:hideMark/>
          </w:tcPr>
          <w:p w:rsidR="006A0FC2" w:rsidRPr="00CE26F7" w:rsidRDefault="006A0FC2" w:rsidP="009274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5</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105</w:t>
            </w:r>
          </w:p>
        </w:tc>
        <w:tc>
          <w:tcPr>
            <w:tcW w:w="1418" w:type="dxa"/>
            <w:noWrap/>
            <w:hideMark/>
          </w:tcPr>
          <w:p w:rsidR="006A0FC2" w:rsidRPr="00CE26F7" w:rsidRDefault="006A0FC2" w:rsidP="009274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5</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044</w:t>
            </w:r>
          </w:p>
        </w:tc>
        <w:tc>
          <w:tcPr>
            <w:tcW w:w="1559" w:type="dxa"/>
            <w:noWrap/>
            <w:hideMark/>
          </w:tcPr>
          <w:p w:rsidR="006A0FC2" w:rsidRPr="00CE26F7" w:rsidRDefault="006A0FC2" w:rsidP="009274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7</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740</w:t>
            </w:r>
          </w:p>
        </w:tc>
        <w:tc>
          <w:tcPr>
            <w:tcW w:w="1701" w:type="dxa"/>
            <w:noWrap/>
            <w:hideMark/>
          </w:tcPr>
          <w:p w:rsidR="006A0FC2" w:rsidRPr="00CE26F7" w:rsidRDefault="006A0FC2" w:rsidP="009274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6</w:t>
            </w:r>
            <w:r>
              <w:rPr>
                <w:rFonts w:ascii="Calibri" w:eastAsia="Times New Roman" w:hAnsi="Calibri" w:cs="Calibri"/>
                <w:color w:val="000000"/>
                <w:lang w:val="en-ZW" w:eastAsia="en-ZW"/>
              </w:rPr>
              <w:t xml:space="preserve"> 96</w:t>
            </w:r>
            <w:r w:rsidRPr="00CE26F7">
              <w:rPr>
                <w:rFonts w:ascii="Calibri" w:eastAsia="Times New Roman" w:hAnsi="Calibri" w:cs="Calibri"/>
                <w:color w:val="000000"/>
                <w:lang w:val="en-ZW" w:eastAsia="en-ZW"/>
              </w:rPr>
              <w:t>5</w:t>
            </w:r>
          </w:p>
        </w:tc>
      </w:tr>
      <w:tr w:rsidR="006A0FC2" w:rsidRPr="00CE26F7" w:rsidTr="006A0FC2">
        <w:trPr>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rsidR="006A0FC2" w:rsidRPr="00CE26F7" w:rsidRDefault="006A0FC2" w:rsidP="00927493">
            <w:pPr>
              <w:spacing w:after="0" w:line="240" w:lineRule="auto"/>
              <w:rPr>
                <w:rFonts w:ascii="Calibri" w:eastAsia="Times New Roman" w:hAnsi="Calibri" w:cs="Calibri"/>
                <w:lang w:val="en-ZW" w:eastAsia="en-ZW"/>
              </w:rPr>
            </w:pPr>
            <w:r w:rsidRPr="00CE26F7">
              <w:rPr>
                <w:rFonts w:ascii="Calibri" w:eastAsia="Times New Roman" w:hAnsi="Calibri" w:cs="Calibri"/>
                <w:lang w:val="en-ZW" w:eastAsia="en-ZW"/>
              </w:rPr>
              <w:t xml:space="preserve">Nickel/t </w:t>
            </w:r>
          </w:p>
        </w:tc>
        <w:tc>
          <w:tcPr>
            <w:tcW w:w="1842" w:type="dxa"/>
            <w:noWrap/>
            <w:hideMark/>
          </w:tcPr>
          <w:p w:rsidR="006A0FC2" w:rsidRPr="00CE26F7" w:rsidRDefault="006A0FC2" w:rsidP="009274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4</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874</w:t>
            </w:r>
          </w:p>
        </w:tc>
        <w:tc>
          <w:tcPr>
            <w:tcW w:w="1418" w:type="dxa"/>
            <w:noWrap/>
            <w:hideMark/>
          </w:tcPr>
          <w:p w:rsidR="006A0FC2" w:rsidRPr="00CE26F7" w:rsidRDefault="006A0FC2" w:rsidP="009274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4</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010</w:t>
            </w:r>
          </w:p>
        </w:tc>
        <w:tc>
          <w:tcPr>
            <w:tcW w:w="1559" w:type="dxa"/>
            <w:noWrap/>
            <w:hideMark/>
          </w:tcPr>
          <w:p w:rsidR="006A0FC2" w:rsidRPr="00CE26F7" w:rsidRDefault="006A0FC2" w:rsidP="009274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4</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747</w:t>
            </w:r>
          </w:p>
        </w:tc>
        <w:tc>
          <w:tcPr>
            <w:tcW w:w="1701" w:type="dxa"/>
            <w:noWrap/>
            <w:hideMark/>
          </w:tcPr>
          <w:p w:rsidR="006A0FC2" w:rsidRPr="00CE26F7" w:rsidRDefault="006A0FC2" w:rsidP="009274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3</w:t>
            </w:r>
            <w:r>
              <w:rPr>
                <w:rFonts w:ascii="Calibri" w:eastAsia="Times New Roman" w:hAnsi="Calibri" w:cs="Calibri"/>
                <w:color w:val="000000"/>
                <w:lang w:val="en-ZW" w:eastAsia="en-ZW"/>
              </w:rPr>
              <w:t xml:space="preserve"> 816</w:t>
            </w:r>
          </w:p>
        </w:tc>
      </w:tr>
      <w:tr w:rsidR="006A0FC2" w:rsidRPr="00CE26F7" w:rsidTr="006A0F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rsidR="006A0FC2" w:rsidRPr="00CE26F7" w:rsidRDefault="006A0FC2" w:rsidP="00927493">
            <w:pPr>
              <w:spacing w:after="0" w:line="240" w:lineRule="auto"/>
              <w:rPr>
                <w:rFonts w:ascii="Calibri" w:eastAsia="Times New Roman" w:hAnsi="Calibri" w:cs="Calibri"/>
                <w:lang w:val="en-ZW" w:eastAsia="en-ZW"/>
              </w:rPr>
            </w:pPr>
            <w:r w:rsidRPr="00CE26F7">
              <w:rPr>
                <w:rFonts w:ascii="Calibri" w:eastAsia="Times New Roman" w:hAnsi="Calibri" w:cs="Calibri"/>
                <w:lang w:val="en-ZW" w:eastAsia="en-ZW"/>
              </w:rPr>
              <w:t xml:space="preserve">Coal/t </w:t>
            </w:r>
          </w:p>
        </w:tc>
        <w:tc>
          <w:tcPr>
            <w:tcW w:w="1842" w:type="dxa"/>
            <w:noWrap/>
            <w:hideMark/>
          </w:tcPr>
          <w:p w:rsidR="006A0FC2" w:rsidRPr="00CE26F7" w:rsidRDefault="006A0FC2" w:rsidP="009274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754</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319</w:t>
            </w:r>
          </w:p>
        </w:tc>
        <w:tc>
          <w:tcPr>
            <w:tcW w:w="1418" w:type="dxa"/>
            <w:noWrap/>
            <w:hideMark/>
          </w:tcPr>
          <w:p w:rsidR="006A0FC2" w:rsidRPr="00CE26F7" w:rsidRDefault="006A0FC2" w:rsidP="009274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362</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964</w:t>
            </w:r>
          </w:p>
        </w:tc>
        <w:tc>
          <w:tcPr>
            <w:tcW w:w="1559" w:type="dxa"/>
            <w:noWrap/>
            <w:hideMark/>
          </w:tcPr>
          <w:p w:rsidR="006A0FC2" w:rsidRPr="00CE26F7" w:rsidRDefault="006A0FC2" w:rsidP="009274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655</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477</w:t>
            </w:r>
          </w:p>
        </w:tc>
        <w:tc>
          <w:tcPr>
            <w:tcW w:w="1701" w:type="dxa"/>
            <w:noWrap/>
            <w:hideMark/>
          </w:tcPr>
          <w:p w:rsidR="006A0FC2" w:rsidRPr="00CE26F7" w:rsidRDefault="006A0FC2" w:rsidP="009274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305</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782</w:t>
            </w:r>
          </w:p>
        </w:tc>
      </w:tr>
      <w:tr w:rsidR="006A0FC2" w:rsidRPr="00CE26F7" w:rsidTr="006A0FC2">
        <w:trPr>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rsidR="006A0FC2" w:rsidRPr="00CE26F7" w:rsidRDefault="006A0FC2" w:rsidP="00927493">
            <w:pPr>
              <w:spacing w:after="0" w:line="240" w:lineRule="auto"/>
              <w:rPr>
                <w:rFonts w:ascii="Calibri" w:eastAsia="Times New Roman" w:hAnsi="Calibri" w:cs="Calibri"/>
                <w:lang w:val="en-ZW" w:eastAsia="en-ZW"/>
              </w:rPr>
            </w:pPr>
            <w:r w:rsidRPr="00CE26F7">
              <w:rPr>
                <w:rFonts w:ascii="Calibri" w:eastAsia="Times New Roman" w:hAnsi="Calibri" w:cs="Calibri"/>
                <w:lang w:val="en-ZW" w:eastAsia="en-ZW"/>
              </w:rPr>
              <w:t xml:space="preserve">Chrome/t </w:t>
            </w:r>
          </w:p>
        </w:tc>
        <w:tc>
          <w:tcPr>
            <w:tcW w:w="1842" w:type="dxa"/>
            <w:noWrap/>
            <w:hideMark/>
          </w:tcPr>
          <w:p w:rsidR="006A0FC2" w:rsidRPr="00CE26F7" w:rsidRDefault="006A0FC2" w:rsidP="009274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12</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624</w:t>
            </w:r>
          </w:p>
        </w:tc>
        <w:tc>
          <w:tcPr>
            <w:tcW w:w="1418" w:type="dxa"/>
            <w:noWrap/>
            <w:hideMark/>
          </w:tcPr>
          <w:p w:rsidR="006A0FC2" w:rsidRPr="00CE26F7" w:rsidRDefault="006A0FC2" w:rsidP="009274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329</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232</w:t>
            </w:r>
          </w:p>
        </w:tc>
        <w:tc>
          <w:tcPr>
            <w:tcW w:w="1559" w:type="dxa"/>
            <w:noWrap/>
            <w:hideMark/>
          </w:tcPr>
          <w:p w:rsidR="006A0FC2" w:rsidRPr="00CE26F7" w:rsidRDefault="006A0FC2" w:rsidP="009274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409</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826</w:t>
            </w:r>
          </w:p>
        </w:tc>
        <w:tc>
          <w:tcPr>
            <w:tcW w:w="1701" w:type="dxa"/>
            <w:noWrap/>
            <w:hideMark/>
          </w:tcPr>
          <w:p w:rsidR="006A0FC2" w:rsidRPr="00CE26F7" w:rsidRDefault="006A0FC2" w:rsidP="009274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419</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486</w:t>
            </w:r>
          </w:p>
        </w:tc>
      </w:tr>
      <w:tr w:rsidR="006A0FC2" w:rsidRPr="00CE26F7" w:rsidTr="006A0F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rsidR="006A0FC2" w:rsidRPr="00CE26F7" w:rsidRDefault="006A0FC2" w:rsidP="00927493">
            <w:pPr>
              <w:spacing w:after="0" w:line="240" w:lineRule="auto"/>
              <w:rPr>
                <w:rFonts w:ascii="Calibri" w:eastAsia="Times New Roman" w:hAnsi="Calibri" w:cs="Calibri"/>
                <w:lang w:val="en-ZW" w:eastAsia="en-ZW"/>
              </w:rPr>
            </w:pPr>
            <w:r w:rsidRPr="00CE26F7">
              <w:rPr>
                <w:rFonts w:ascii="Calibri" w:eastAsia="Times New Roman" w:hAnsi="Calibri" w:cs="Calibri"/>
                <w:lang w:val="en-ZW" w:eastAsia="en-ZW"/>
              </w:rPr>
              <w:t xml:space="preserve">Platinum/kg </w:t>
            </w:r>
          </w:p>
        </w:tc>
        <w:tc>
          <w:tcPr>
            <w:tcW w:w="1842" w:type="dxa"/>
            <w:noWrap/>
            <w:hideMark/>
          </w:tcPr>
          <w:p w:rsidR="006A0FC2" w:rsidRPr="00CE26F7" w:rsidRDefault="006A0FC2" w:rsidP="009274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4</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321</w:t>
            </w:r>
          </w:p>
        </w:tc>
        <w:tc>
          <w:tcPr>
            <w:tcW w:w="1418" w:type="dxa"/>
            <w:noWrap/>
            <w:hideMark/>
          </w:tcPr>
          <w:p w:rsidR="006A0FC2" w:rsidRPr="00CE26F7" w:rsidRDefault="006A0FC2" w:rsidP="009274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3</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552</w:t>
            </w:r>
          </w:p>
        </w:tc>
        <w:tc>
          <w:tcPr>
            <w:tcW w:w="1559" w:type="dxa"/>
            <w:noWrap/>
            <w:hideMark/>
          </w:tcPr>
          <w:p w:rsidR="006A0FC2" w:rsidRPr="00CE26F7" w:rsidRDefault="006A0FC2" w:rsidP="009274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3</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744</w:t>
            </w:r>
          </w:p>
        </w:tc>
        <w:tc>
          <w:tcPr>
            <w:tcW w:w="1701" w:type="dxa"/>
            <w:noWrap/>
            <w:hideMark/>
          </w:tcPr>
          <w:p w:rsidR="006A0FC2" w:rsidRPr="00CE26F7" w:rsidRDefault="006A0FC2" w:rsidP="009274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3</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41</w:t>
            </w:r>
            <w:r>
              <w:rPr>
                <w:rFonts w:ascii="Calibri" w:eastAsia="Times New Roman" w:hAnsi="Calibri" w:cs="Calibri"/>
                <w:color w:val="000000"/>
                <w:lang w:val="en-ZW" w:eastAsia="en-ZW"/>
              </w:rPr>
              <w:t>7</w:t>
            </w:r>
          </w:p>
        </w:tc>
      </w:tr>
      <w:tr w:rsidR="006A0FC2" w:rsidRPr="00CE26F7" w:rsidTr="006A0FC2">
        <w:trPr>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rsidR="006A0FC2" w:rsidRPr="00CE26F7" w:rsidRDefault="006A0FC2" w:rsidP="00927493">
            <w:pPr>
              <w:spacing w:after="0" w:line="240" w:lineRule="auto"/>
              <w:rPr>
                <w:rFonts w:ascii="Calibri" w:eastAsia="Times New Roman" w:hAnsi="Calibri" w:cs="Calibri"/>
                <w:lang w:val="en-ZW" w:eastAsia="en-ZW"/>
              </w:rPr>
            </w:pPr>
            <w:r w:rsidRPr="00CE26F7">
              <w:rPr>
                <w:rFonts w:ascii="Calibri" w:eastAsia="Times New Roman" w:hAnsi="Calibri" w:cs="Calibri"/>
                <w:lang w:val="en-ZW" w:eastAsia="en-ZW"/>
              </w:rPr>
              <w:t xml:space="preserve">Paladium/kg </w:t>
            </w:r>
          </w:p>
        </w:tc>
        <w:tc>
          <w:tcPr>
            <w:tcW w:w="1842" w:type="dxa"/>
            <w:noWrap/>
            <w:hideMark/>
          </w:tcPr>
          <w:p w:rsidR="006A0FC2" w:rsidRPr="00CE26F7" w:rsidRDefault="006A0FC2" w:rsidP="009274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3</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463</w:t>
            </w:r>
          </w:p>
        </w:tc>
        <w:tc>
          <w:tcPr>
            <w:tcW w:w="1418" w:type="dxa"/>
            <w:noWrap/>
            <w:hideMark/>
          </w:tcPr>
          <w:p w:rsidR="006A0FC2" w:rsidRPr="00CE26F7" w:rsidRDefault="006A0FC2" w:rsidP="009274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2</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948</w:t>
            </w:r>
          </w:p>
        </w:tc>
        <w:tc>
          <w:tcPr>
            <w:tcW w:w="1559" w:type="dxa"/>
            <w:noWrap/>
            <w:hideMark/>
          </w:tcPr>
          <w:p w:rsidR="006A0FC2" w:rsidRPr="00CE26F7" w:rsidRDefault="006A0FC2" w:rsidP="009274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3</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087</w:t>
            </w:r>
          </w:p>
        </w:tc>
        <w:tc>
          <w:tcPr>
            <w:tcW w:w="1701" w:type="dxa"/>
            <w:noWrap/>
            <w:hideMark/>
          </w:tcPr>
          <w:p w:rsidR="006A0FC2" w:rsidRPr="00CE26F7" w:rsidRDefault="006A0FC2" w:rsidP="00927493">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ZW" w:eastAsia="en-ZW"/>
              </w:rPr>
            </w:pPr>
            <w:r>
              <w:rPr>
                <w:rFonts w:ascii="Calibri" w:eastAsia="Times New Roman" w:hAnsi="Calibri" w:cs="Calibri"/>
                <w:color w:val="000000"/>
                <w:lang w:val="en-ZW" w:eastAsia="en-ZW"/>
              </w:rPr>
              <w:t>2 825</w:t>
            </w:r>
          </w:p>
        </w:tc>
      </w:tr>
      <w:tr w:rsidR="006A0FC2" w:rsidRPr="00CE26F7" w:rsidTr="006A0F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7" w:type="dxa"/>
            <w:noWrap/>
            <w:hideMark/>
          </w:tcPr>
          <w:p w:rsidR="006A0FC2" w:rsidRPr="00CE26F7" w:rsidRDefault="006A0FC2" w:rsidP="00A266D2">
            <w:pPr>
              <w:spacing w:after="0" w:line="240" w:lineRule="auto"/>
              <w:rPr>
                <w:rFonts w:ascii="Calibri" w:eastAsia="Times New Roman" w:hAnsi="Calibri" w:cs="Calibri"/>
                <w:lang w:val="en-ZW" w:eastAsia="en-ZW"/>
              </w:rPr>
            </w:pPr>
            <w:r w:rsidRPr="00CE26F7">
              <w:rPr>
                <w:rFonts w:ascii="Calibri" w:eastAsia="Times New Roman" w:hAnsi="Calibri" w:cs="Calibri"/>
                <w:lang w:val="en-ZW" w:eastAsia="en-ZW"/>
              </w:rPr>
              <w:t>Diamonds</w:t>
            </w:r>
            <w:r w:rsidR="003F6F27">
              <w:rPr>
                <w:rFonts w:ascii="Calibri" w:eastAsia="Times New Roman" w:hAnsi="Calibri" w:cs="Calibri"/>
                <w:lang w:val="en-ZW" w:eastAsia="en-ZW"/>
              </w:rPr>
              <w:t>/</w:t>
            </w:r>
            <w:r w:rsidR="00A266D2" w:rsidRPr="00A266D2">
              <w:rPr>
                <w:rFonts w:ascii="Calibri" w:eastAsia="Times New Roman" w:hAnsi="Calibri" w:cs="Calibri"/>
                <w:lang w:val="en-ZW" w:eastAsia="en-ZW"/>
              </w:rPr>
              <w:t>carats</w:t>
            </w:r>
          </w:p>
        </w:tc>
        <w:tc>
          <w:tcPr>
            <w:tcW w:w="1842" w:type="dxa"/>
            <w:noWrap/>
            <w:hideMark/>
          </w:tcPr>
          <w:p w:rsidR="006A0FC2" w:rsidRPr="00CE26F7" w:rsidRDefault="006A0FC2" w:rsidP="009274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656</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561</w:t>
            </w:r>
          </w:p>
        </w:tc>
        <w:tc>
          <w:tcPr>
            <w:tcW w:w="1418" w:type="dxa"/>
            <w:noWrap/>
            <w:hideMark/>
          </w:tcPr>
          <w:p w:rsidR="006A0FC2" w:rsidRPr="00CE26F7" w:rsidRDefault="006A0FC2" w:rsidP="009274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567</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285</w:t>
            </w:r>
          </w:p>
        </w:tc>
        <w:tc>
          <w:tcPr>
            <w:tcW w:w="1559" w:type="dxa"/>
            <w:noWrap/>
            <w:hideMark/>
          </w:tcPr>
          <w:p w:rsidR="006A0FC2" w:rsidRPr="00CE26F7" w:rsidRDefault="006A0FC2" w:rsidP="009274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ZW" w:eastAsia="en-ZW"/>
              </w:rPr>
            </w:pPr>
            <w:r w:rsidRPr="00CE26F7">
              <w:rPr>
                <w:rFonts w:ascii="Calibri" w:eastAsia="Times New Roman" w:hAnsi="Calibri" w:cs="Calibri"/>
                <w:color w:val="000000"/>
                <w:lang w:val="en-ZW" w:eastAsia="en-ZW"/>
              </w:rPr>
              <w:t>897</w:t>
            </w:r>
            <w:r>
              <w:rPr>
                <w:rFonts w:ascii="Calibri" w:eastAsia="Times New Roman" w:hAnsi="Calibri" w:cs="Calibri"/>
                <w:color w:val="000000"/>
                <w:lang w:val="en-ZW" w:eastAsia="en-ZW"/>
              </w:rPr>
              <w:t xml:space="preserve"> </w:t>
            </w:r>
            <w:r w:rsidRPr="00CE26F7">
              <w:rPr>
                <w:rFonts w:ascii="Calibri" w:eastAsia="Times New Roman" w:hAnsi="Calibri" w:cs="Calibri"/>
                <w:color w:val="000000"/>
                <w:lang w:val="en-ZW" w:eastAsia="en-ZW"/>
              </w:rPr>
              <w:t>369</w:t>
            </w:r>
          </w:p>
        </w:tc>
        <w:tc>
          <w:tcPr>
            <w:tcW w:w="1701" w:type="dxa"/>
            <w:noWrap/>
            <w:hideMark/>
          </w:tcPr>
          <w:p w:rsidR="006A0FC2" w:rsidRPr="00CE26F7" w:rsidRDefault="006A0FC2" w:rsidP="00927493">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ZW" w:eastAsia="en-ZW"/>
              </w:rPr>
            </w:pPr>
            <w:r>
              <w:rPr>
                <w:rFonts w:ascii="Calibri" w:eastAsia="Times New Roman" w:hAnsi="Calibri" w:cs="Calibri"/>
                <w:color w:val="000000"/>
                <w:lang w:val="en-ZW" w:eastAsia="en-ZW"/>
              </w:rPr>
              <w:t>461 348</w:t>
            </w:r>
          </w:p>
        </w:tc>
      </w:tr>
    </w:tbl>
    <w:p w:rsidR="00695727" w:rsidRPr="00CD2B56" w:rsidRDefault="00695727" w:rsidP="00695727">
      <w:pPr>
        <w:spacing w:after="0" w:line="360" w:lineRule="auto"/>
        <w:ind w:firstLine="567"/>
        <w:contextualSpacing/>
        <w:jc w:val="both"/>
        <w:rPr>
          <w:rFonts w:ascii="Tahoma" w:hAnsi="Tahoma" w:cs="Tahoma"/>
          <w:i/>
          <w:sz w:val="24"/>
          <w:szCs w:val="24"/>
          <w:lang w:val="en-ZW"/>
        </w:rPr>
      </w:pPr>
      <w:r w:rsidRPr="00CD2B56">
        <w:rPr>
          <w:rFonts w:ascii="Tahoma" w:hAnsi="Tahoma" w:cs="Tahoma"/>
          <w:i/>
          <w:sz w:val="24"/>
          <w:szCs w:val="24"/>
          <w:lang w:val="en-ZW"/>
        </w:rPr>
        <w:t>Source: Ministry of Mines and Mining Development</w:t>
      </w:r>
    </w:p>
    <w:p w:rsidR="00695727" w:rsidRDefault="00695727" w:rsidP="00695727">
      <w:pPr>
        <w:spacing w:after="0" w:line="360" w:lineRule="auto"/>
        <w:contextualSpacing/>
        <w:jc w:val="both"/>
        <w:rPr>
          <w:rFonts w:ascii="Tahoma" w:eastAsia="Calibri" w:hAnsi="Tahoma" w:cs="Tahoma"/>
          <w:sz w:val="24"/>
          <w:szCs w:val="24"/>
          <w:lang w:val="en-ZW" w:eastAsia="x-none"/>
        </w:rPr>
      </w:pPr>
    </w:p>
    <w:p w:rsidR="00695727" w:rsidRDefault="006A0FC2" w:rsidP="00695727">
      <w:pPr>
        <w:pStyle w:val="ListParagraph"/>
        <w:numPr>
          <w:ilvl w:val="0"/>
          <w:numId w:val="1"/>
        </w:numPr>
        <w:spacing w:after="160" w:line="360" w:lineRule="auto"/>
        <w:ind w:left="567" w:hanging="567"/>
        <w:jc w:val="both"/>
        <w:rPr>
          <w:rFonts w:ascii="Tahoma" w:hAnsi="Tahoma" w:cs="Tahoma"/>
          <w:sz w:val="24"/>
          <w:szCs w:val="24"/>
          <w:lang w:eastAsia="x-none"/>
        </w:rPr>
      </w:pPr>
      <w:r>
        <w:rPr>
          <w:rFonts w:ascii="Tahoma" w:hAnsi="Tahoma" w:cs="Tahoma"/>
          <w:sz w:val="24"/>
          <w:szCs w:val="24"/>
          <w:lang w:eastAsia="x-none"/>
        </w:rPr>
        <w:t xml:space="preserve">Looking ahead, 2019 overall projected </w:t>
      </w:r>
      <w:r w:rsidR="002C3C7D">
        <w:rPr>
          <w:rFonts w:ascii="Tahoma" w:hAnsi="Tahoma" w:cs="Tahoma"/>
          <w:sz w:val="24"/>
          <w:szCs w:val="24"/>
          <w:lang w:eastAsia="x-none"/>
        </w:rPr>
        <w:t xml:space="preserve">output </w:t>
      </w:r>
      <w:r>
        <w:rPr>
          <w:rFonts w:ascii="Tahoma" w:hAnsi="Tahoma" w:cs="Tahoma"/>
          <w:sz w:val="24"/>
          <w:szCs w:val="24"/>
          <w:lang w:eastAsia="x-none"/>
        </w:rPr>
        <w:t xml:space="preserve">targets </w:t>
      </w:r>
      <w:r w:rsidR="002C3C7D">
        <w:rPr>
          <w:rFonts w:ascii="Tahoma" w:hAnsi="Tahoma" w:cs="Tahoma"/>
          <w:sz w:val="24"/>
          <w:szCs w:val="24"/>
          <w:lang w:eastAsia="x-none"/>
        </w:rPr>
        <w:t xml:space="preserve">are achievable with most key minerals such as gold, nickel, chrome and platinum </w:t>
      </w:r>
      <w:r w:rsidR="00695727">
        <w:rPr>
          <w:rFonts w:ascii="Tahoma" w:hAnsi="Tahoma" w:cs="Tahoma"/>
          <w:sz w:val="24"/>
          <w:szCs w:val="24"/>
          <w:lang w:eastAsia="x-none"/>
        </w:rPr>
        <w:t xml:space="preserve">first quarter </w:t>
      </w:r>
      <w:r w:rsidR="002C3C7D">
        <w:rPr>
          <w:rFonts w:ascii="Tahoma" w:hAnsi="Tahoma" w:cs="Tahoma"/>
          <w:sz w:val="24"/>
          <w:szCs w:val="24"/>
          <w:lang w:eastAsia="x-none"/>
        </w:rPr>
        <w:t>contributions constituting more than 20% of total expected output of the year.</w:t>
      </w:r>
    </w:p>
    <w:p w:rsidR="00695727" w:rsidRPr="00CD2B56" w:rsidRDefault="00695727" w:rsidP="00695727">
      <w:pPr>
        <w:spacing w:after="0" w:line="360" w:lineRule="auto"/>
        <w:contextualSpacing/>
        <w:jc w:val="both"/>
        <w:rPr>
          <w:rFonts w:ascii="Tahoma" w:eastAsia="Calibri" w:hAnsi="Tahoma" w:cs="Tahoma"/>
          <w:sz w:val="24"/>
          <w:szCs w:val="24"/>
          <w:lang w:val="en-ZW" w:eastAsia="x-none"/>
        </w:rPr>
      </w:pPr>
    </w:p>
    <w:p w:rsidR="00695727" w:rsidRPr="00CD2B56" w:rsidRDefault="00695727" w:rsidP="00695727">
      <w:pPr>
        <w:spacing w:after="0" w:line="360" w:lineRule="auto"/>
        <w:ind w:firstLine="567"/>
        <w:contextualSpacing/>
        <w:jc w:val="both"/>
        <w:rPr>
          <w:rFonts w:ascii="Tahoma" w:eastAsia="Calibri" w:hAnsi="Tahoma" w:cs="Tahoma"/>
          <w:b/>
          <w:sz w:val="24"/>
          <w:szCs w:val="24"/>
          <w:lang w:val="en-ZW" w:eastAsia="x-none"/>
        </w:rPr>
      </w:pPr>
      <w:r w:rsidRPr="00CD2B56">
        <w:rPr>
          <w:rFonts w:ascii="Tahoma" w:eastAsia="Calibri" w:hAnsi="Tahoma" w:cs="Tahoma"/>
          <w:b/>
          <w:sz w:val="24"/>
          <w:szCs w:val="24"/>
          <w:lang w:val="en-ZW" w:eastAsia="x-none"/>
        </w:rPr>
        <w:t>201</w:t>
      </w:r>
      <w:r>
        <w:rPr>
          <w:rFonts w:ascii="Tahoma" w:eastAsia="Calibri" w:hAnsi="Tahoma" w:cs="Tahoma"/>
          <w:b/>
          <w:sz w:val="24"/>
          <w:szCs w:val="24"/>
          <w:lang w:val="en-ZW" w:eastAsia="x-none"/>
        </w:rPr>
        <w:t>9</w:t>
      </w:r>
      <w:r w:rsidRPr="00CD2B56">
        <w:rPr>
          <w:rFonts w:ascii="Tahoma" w:eastAsia="Calibri" w:hAnsi="Tahoma" w:cs="Tahoma"/>
          <w:b/>
          <w:sz w:val="24"/>
          <w:szCs w:val="24"/>
          <w:lang w:val="en-ZW" w:eastAsia="x-none"/>
        </w:rPr>
        <w:t xml:space="preserve"> </w:t>
      </w:r>
      <w:r w:rsidR="002C3C7D">
        <w:rPr>
          <w:rFonts w:ascii="Tahoma" w:eastAsia="Calibri" w:hAnsi="Tahoma" w:cs="Tahoma"/>
          <w:b/>
          <w:sz w:val="24"/>
          <w:szCs w:val="24"/>
          <w:lang w:val="en-ZW" w:eastAsia="x-none"/>
        </w:rPr>
        <w:t>Q1</w:t>
      </w:r>
      <w:r>
        <w:rPr>
          <w:rFonts w:ascii="Tahoma" w:eastAsia="Calibri" w:hAnsi="Tahoma" w:cs="Tahoma"/>
          <w:b/>
          <w:sz w:val="24"/>
          <w:szCs w:val="24"/>
          <w:lang w:val="en-ZW" w:eastAsia="x-none"/>
        </w:rPr>
        <w:t xml:space="preserve"> </w:t>
      </w:r>
      <w:r w:rsidRPr="00CD2B56">
        <w:rPr>
          <w:rFonts w:ascii="Tahoma" w:eastAsia="Calibri" w:hAnsi="Tahoma" w:cs="Tahoma"/>
          <w:b/>
          <w:sz w:val="24"/>
          <w:szCs w:val="24"/>
          <w:lang w:val="en-ZW" w:eastAsia="x-none"/>
        </w:rPr>
        <w:t>Mineral Performance</w:t>
      </w:r>
      <w:r>
        <w:rPr>
          <w:rFonts w:ascii="Tahoma" w:eastAsia="Calibri" w:hAnsi="Tahoma" w:cs="Tahoma"/>
          <w:b/>
          <w:sz w:val="24"/>
          <w:szCs w:val="24"/>
          <w:lang w:val="en-ZW" w:eastAsia="x-none"/>
        </w:rPr>
        <w:t xml:space="preserve"> vs Target</w:t>
      </w:r>
    </w:p>
    <w:tbl>
      <w:tblPr>
        <w:tblStyle w:val="PlainTable1"/>
        <w:tblW w:w="4624" w:type="pct"/>
        <w:tblInd w:w="562" w:type="dxa"/>
        <w:tblLook w:val="04A0" w:firstRow="1" w:lastRow="0" w:firstColumn="1" w:lastColumn="0" w:noHBand="0" w:noVBand="1"/>
      </w:tblPr>
      <w:tblGrid>
        <w:gridCol w:w="2410"/>
        <w:gridCol w:w="1702"/>
        <w:gridCol w:w="2269"/>
        <w:gridCol w:w="2266"/>
      </w:tblGrid>
      <w:tr w:rsidR="002C3C7D" w:rsidRPr="00F53413" w:rsidTr="002C3C7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4" w:type="pct"/>
            <w:noWrap/>
            <w:hideMark/>
          </w:tcPr>
          <w:p w:rsidR="002C3C7D" w:rsidRPr="00F53413" w:rsidRDefault="002C3C7D" w:rsidP="002C3C7D">
            <w:pPr>
              <w:spacing w:after="0" w:line="240" w:lineRule="auto"/>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 </w:t>
            </w:r>
          </w:p>
        </w:tc>
        <w:tc>
          <w:tcPr>
            <w:tcW w:w="984" w:type="pct"/>
          </w:tcPr>
          <w:p w:rsidR="002C3C7D" w:rsidRPr="00F53413" w:rsidRDefault="002C3C7D" w:rsidP="002C3C7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2019 Target</w:t>
            </w:r>
          </w:p>
        </w:tc>
        <w:tc>
          <w:tcPr>
            <w:tcW w:w="1312" w:type="pct"/>
            <w:noWrap/>
            <w:hideMark/>
          </w:tcPr>
          <w:p w:rsidR="002C3C7D" w:rsidRPr="00F53413" w:rsidRDefault="002C3C7D" w:rsidP="003F6F27">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val="en-ZW" w:eastAsia="en-ZW"/>
              </w:rPr>
            </w:pPr>
            <w:r>
              <w:rPr>
                <w:rFonts w:ascii="Tahoma" w:eastAsia="Times New Roman" w:hAnsi="Tahoma" w:cs="Tahoma"/>
                <w:color w:val="000000"/>
                <w:sz w:val="20"/>
                <w:szCs w:val="20"/>
                <w:lang w:val="en-ZW" w:eastAsia="en-ZW"/>
              </w:rPr>
              <w:t xml:space="preserve">Q1 Outturn  </w:t>
            </w:r>
          </w:p>
        </w:tc>
        <w:tc>
          <w:tcPr>
            <w:tcW w:w="1311" w:type="pct"/>
          </w:tcPr>
          <w:p w:rsidR="002C3C7D" w:rsidRPr="00F53413" w:rsidRDefault="002C3C7D" w:rsidP="002C3C7D">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val="en-ZW" w:eastAsia="en-ZW"/>
              </w:rPr>
            </w:pPr>
            <w:r>
              <w:rPr>
                <w:rFonts w:ascii="Tahoma" w:eastAsia="Times New Roman" w:hAnsi="Tahoma" w:cs="Tahoma"/>
                <w:color w:val="000000"/>
                <w:sz w:val="20"/>
                <w:szCs w:val="20"/>
                <w:lang w:val="en-ZW" w:eastAsia="en-ZW"/>
              </w:rPr>
              <w:t>Q1 Outturn</w:t>
            </w:r>
            <w:r w:rsidRPr="00F53413">
              <w:rPr>
                <w:rFonts w:ascii="Tahoma" w:eastAsia="Times New Roman" w:hAnsi="Tahoma" w:cs="Tahoma"/>
                <w:color w:val="000000"/>
                <w:sz w:val="20"/>
                <w:szCs w:val="20"/>
                <w:lang w:val="en-ZW" w:eastAsia="en-ZW"/>
              </w:rPr>
              <w:t xml:space="preserve"> </w:t>
            </w:r>
            <w:r>
              <w:rPr>
                <w:rFonts w:ascii="Tahoma" w:eastAsia="Times New Roman" w:hAnsi="Tahoma" w:cs="Tahoma"/>
                <w:color w:val="000000"/>
                <w:sz w:val="20"/>
                <w:szCs w:val="20"/>
                <w:lang w:val="en-ZW" w:eastAsia="en-ZW"/>
              </w:rPr>
              <w:t xml:space="preserve">as % of Total Target </w:t>
            </w:r>
          </w:p>
        </w:tc>
      </w:tr>
      <w:tr w:rsidR="002C3C7D" w:rsidRPr="00F53413" w:rsidTr="002C3C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4" w:type="pct"/>
            <w:noWrap/>
            <w:hideMark/>
          </w:tcPr>
          <w:p w:rsidR="002C3C7D" w:rsidRPr="00F53413" w:rsidRDefault="002C3C7D" w:rsidP="002C3C7D">
            <w:pPr>
              <w:spacing w:after="0" w:line="240" w:lineRule="auto"/>
              <w:rPr>
                <w:rFonts w:ascii="Tahoma" w:eastAsia="Times New Roman" w:hAnsi="Tahoma" w:cs="Tahoma"/>
                <w:sz w:val="20"/>
                <w:szCs w:val="20"/>
                <w:lang w:val="en-ZW" w:eastAsia="en-ZW"/>
              </w:rPr>
            </w:pPr>
            <w:r w:rsidRPr="00F53413">
              <w:rPr>
                <w:rFonts w:ascii="Tahoma" w:eastAsia="Times New Roman" w:hAnsi="Tahoma" w:cs="Tahoma"/>
                <w:sz w:val="20"/>
                <w:szCs w:val="20"/>
                <w:lang w:val="en-ZW" w:eastAsia="en-ZW"/>
              </w:rPr>
              <w:t xml:space="preserve">Gold/kg </w:t>
            </w:r>
          </w:p>
        </w:tc>
        <w:tc>
          <w:tcPr>
            <w:tcW w:w="984" w:type="pct"/>
          </w:tcPr>
          <w:p w:rsidR="002C3C7D" w:rsidRPr="00F53413" w:rsidRDefault="002C3C7D" w:rsidP="002C3C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35 000</w:t>
            </w:r>
          </w:p>
        </w:tc>
        <w:tc>
          <w:tcPr>
            <w:tcW w:w="1312" w:type="pct"/>
            <w:noWrap/>
            <w:hideMark/>
          </w:tcPr>
          <w:p w:rsidR="002C3C7D" w:rsidRPr="00F53413" w:rsidRDefault="002C3C7D" w:rsidP="002C3C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6 965</w:t>
            </w:r>
          </w:p>
        </w:tc>
        <w:tc>
          <w:tcPr>
            <w:tcW w:w="1311" w:type="pct"/>
          </w:tcPr>
          <w:p w:rsidR="002C3C7D" w:rsidRPr="00F53413" w:rsidRDefault="002C3C7D" w:rsidP="002C3C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20</w:t>
            </w:r>
          </w:p>
        </w:tc>
      </w:tr>
      <w:tr w:rsidR="002C3C7D" w:rsidRPr="00F53413" w:rsidTr="002C3C7D">
        <w:trPr>
          <w:trHeight w:val="300"/>
        </w:trPr>
        <w:tc>
          <w:tcPr>
            <w:cnfStyle w:val="001000000000" w:firstRow="0" w:lastRow="0" w:firstColumn="1" w:lastColumn="0" w:oddVBand="0" w:evenVBand="0" w:oddHBand="0" w:evenHBand="0" w:firstRowFirstColumn="0" w:firstRowLastColumn="0" w:lastRowFirstColumn="0" w:lastRowLastColumn="0"/>
            <w:tcW w:w="1394" w:type="pct"/>
            <w:noWrap/>
            <w:hideMark/>
          </w:tcPr>
          <w:p w:rsidR="002C3C7D" w:rsidRPr="00F53413" w:rsidRDefault="002C3C7D" w:rsidP="002C3C7D">
            <w:pPr>
              <w:spacing w:after="0" w:line="240" w:lineRule="auto"/>
              <w:rPr>
                <w:rFonts w:ascii="Tahoma" w:eastAsia="Times New Roman" w:hAnsi="Tahoma" w:cs="Tahoma"/>
                <w:sz w:val="20"/>
                <w:szCs w:val="20"/>
                <w:lang w:val="en-ZW" w:eastAsia="en-ZW"/>
              </w:rPr>
            </w:pPr>
            <w:r w:rsidRPr="00F53413">
              <w:rPr>
                <w:rFonts w:ascii="Tahoma" w:eastAsia="Times New Roman" w:hAnsi="Tahoma" w:cs="Tahoma"/>
                <w:sz w:val="20"/>
                <w:szCs w:val="20"/>
                <w:lang w:val="en-ZW" w:eastAsia="en-ZW"/>
              </w:rPr>
              <w:t xml:space="preserve">Nickel/t </w:t>
            </w:r>
          </w:p>
        </w:tc>
        <w:tc>
          <w:tcPr>
            <w:tcW w:w="984" w:type="pct"/>
          </w:tcPr>
          <w:p w:rsidR="002C3C7D" w:rsidRPr="00F53413" w:rsidRDefault="002C3C7D" w:rsidP="002C3C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18 000</w:t>
            </w:r>
          </w:p>
        </w:tc>
        <w:tc>
          <w:tcPr>
            <w:tcW w:w="1312" w:type="pct"/>
            <w:noWrap/>
          </w:tcPr>
          <w:p w:rsidR="002C3C7D" w:rsidRPr="00F53413" w:rsidRDefault="002C3C7D" w:rsidP="002C3C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3 816</w:t>
            </w:r>
          </w:p>
        </w:tc>
        <w:tc>
          <w:tcPr>
            <w:tcW w:w="1311" w:type="pct"/>
          </w:tcPr>
          <w:p w:rsidR="002C3C7D" w:rsidRPr="00F53413" w:rsidRDefault="002C3C7D" w:rsidP="002C3C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21</w:t>
            </w:r>
          </w:p>
        </w:tc>
      </w:tr>
      <w:tr w:rsidR="002C3C7D" w:rsidRPr="00F53413" w:rsidTr="002C3C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4" w:type="pct"/>
            <w:noWrap/>
            <w:hideMark/>
          </w:tcPr>
          <w:p w:rsidR="002C3C7D" w:rsidRPr="00F53413" w:rsidRDefault="002C3C7D" w:rsidP="002C3C7D">
            <w:pPr>
              <w:spacing w:after="0" w:line="240" w:lineRule="auto"/>
              <w:rPr>
                <w:rFonts w:ascii="Tahoma" w:eastAsia="Times New Roman" w:hAnsi="Tahoma" w:cs="Tahoma"/>
                <w:sz w:val="20"/>
                <w:szCs w:val="20"/>
                <w:lang w:val="en-ZW" w:eastAsia="en-ZW"/>
              </w:rPr>
            </w:pPr>
            <w:r w:rsidRPr="00F53413">
              <w:rPr>
                <w:rFonts w:ascii="Tahoma" w:eastAsia="Times New Roman" w:hAnsi="Tahoma" w:cs="Tahoma"/>
                <w:sz w:val="20"/>
                <w:szCs w:val="20"/>
                <w:lang w:val="en-ZW" w:eastAsia="en-ZW"/>
              </w:rPr>
              <w:lastRenderedPageBreak/>
              <w:t xml:space="preserve">Coal/t </w:t>
            </w:r>
          </w:p>
        </w:tc>
        <w:tc>
          <w:tcPr>
            <w:tcW w:w="984" w:type="pct"/>
          </w:tcPr>
          <w:p w:rsidR="002C3C7D" w:rsidRPr="00F53413" w:rsidRDefault="002C3C7D" w:rsidP="002C3C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3 400 000</w:t>
            </w:r>
          </w:p>
        </w:tc>
        <w:tc>
          <w:tcPr>
            <w:tcW w:w="1312" w:type="pct"/>
            <w:noWrap/>
          </w:tcPr>
          <w:p w:rsidR="002C3C7D" w:rsidRPr="00F53413" w:rsidRDefault="002C3C7D" w:rsidP="002C3C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305 782</w:t>
            </w:r>
          </w:p>
        </w:tc>
        <w:tc>
          <w:tcPr>
            <w:tcW w:w="1311" w:type="pct"/>
          </w:tcPr>
          <w:p w:rsidR="002C3C7D" w:rsidRPr="00F53413" w:rsidRDefault="002C3C7D" w:rsidP="002C3C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9</w:t>
            </w:r>
          </w:p>
        </w:tc>
      </w:tr>
      <w:tr w:rsidR="002C3C7D" w:rsidRPr="00F53413" w:rsidTr="002C3C7D">
        <w:trPr>
          <w:trHeight w:val="300"/>
        </w:trPr>
        <w:tc>
          <w:tcPr>
            <w:cnfStyle w:val="001000000000" w:firstRow="0" w:lastRow="0" w:firstColumn="1" w:lastColumn="0" w:oddVBand="0" w:evenVBand="0" w:oddHBand="0" w:evenHBand="0" w:firstRowFirstColumn="0" w:firstRowLastColumn="0" w:lastRowFirstColumn="0" w:lastRowLastColumn="0"/>
            <w:tcW w:w="1394" w:type="pct"/>
            <w:noWrap/>
            <w:hideMark/>
          </w:tcPr>
          <w:p w:rsidR="002C3C7D" w:rsidRPr="00F53413" w:rsidRDefault="002C3C7D" w:rsidP="002C3C7D">
            <w:pPr>
              <w:spacing w:after="0" w:line="240" w:lineRule="auto"/>
              <w:rPr>
                <w:rFonts w:ascii="Tahoma" w:eastAsia="Times New Roman" w:hAnsi="Tahoma" w:cs="Tahoma"/>
                <w:sz w:val="20"/>
                <w:szCs w:val="20"/>
                <w:lang w:val="en-ZW" w:eastAsia="en-ZW"/>
              </w:rPr>
            </w:pPr>
            <w:r w:rsidRPr="00F53413">
              <w:rPr>
                <w:rFonts w:ascii="Tahoma" w:eastAsia="Times New Roman" w:hAnsi="Tahoma" w:cs="Tahoma"/>
                <w:sz w:val="20"/>
                <w:szCs w:val="20"/>
                <w:lang w:val="en-ZW" w:eastAsia="en-ZW"/>
              </w:rPr>
              <w:t xml:space="preserve">Chrome/t </w:t>
            </w:r>
          </w:p>
        </w:tc>
        <w:tc>
          <w:tcPr>
            <w:tcW w:w="984" w:type="pct"/>
          </w:tcPr>
          <w:p w:rsidR="002C3C7D" w:rsidRPr="00F53413" w:rsidRDefault="002C3C7D" w:rsidP="002C3C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1 800 000</w:t>
            </w:r>
          </w:p>
        </w:tc>
        <w:tc>
          <w:tcPr>
            <w:tcW w:w="1312" w:type="pct"/>
            <w:noWrap/>
          </w:tcPr>
          <w:p w:rsidR="002C3C7D" w:rsidRPr="00F53413" w:rsidRDefault="002C3C7D" w:rsidP="002C3C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419 486</w:t>
            </w:r>
          </w:p>
        </w:tc>
        <w:tc>
          <w:tcPr>
            <w:tcW w:w="1311" w:type="pct"/>
          </w:tcPr>
          <w:p w:rsidR="002C3C7D" w:rsidRPr="00F53413" w:rsidRDefault="002C3C7D" w:rsidP="002C3C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23</w:t>
            </w:r>
          </w:p>
        </w:tc>
      </w:tr>
      <w:tr w:rsidR="002C3C7D" w:rsidRPr="00F53413" w:rsidTr="002C3C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4" w:type="pct"/>
            <w:noWrap/>
            <w:hideMark/>
          </w:tcPr>
          <w:p w:rsidR="002C3C7D" w:rsidRPr="00F53413" w:rsidRDefault="002C3C7D" w:rsidP="002C3C7D">
            <w:pPr>
              <w:spacing w:after="0" w:line="240" w:lineRule="auto"/>
              <w:rPr>
                <w:rFonts w:ascii="Tahoma" w:eastAsia="Times New Roman" w:hAnsi="Tahoma" w:cs="Tahoma"/>
                <w:sz w:val="20"/>
                <w:szCs w:val="20"/>
                <w:lang w:val="en-ZW" w:eastAsia="en-ZW"/>
              </w:rPr>
            </w:pPr>
            <w:r w:rsidRPr="00F53413">
              <w:rPr>
                <w:rFonts w:ascii="Tahoma" w:eastAsia="Times New Roman" w:hAnsi="Tahoma" w:cs="Tahoma"/>
                <w:sz w:val="20"/>
                <w:szCs w:val="20"/>
                <w:lang w:val="en-ZW" w:eastAsia="en-ZW"/>
              </w:rPr>
              <w:t xml:space="preserve">Platinum/kg </w:t>
            </w:r>
          </w:p>
        </w:tc>
        <w:tc>
          <w:tcPr>
            <w:tcW w:w="984" w:type="pct"/>
          </w:tcPr>
          <w:p w:rsidR="002C3C7D" w:rsidRPr="00F53413" w:rsidRDefault="002C3C7D" w:rsidP="002C3C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14 257</w:t>
            </w:r>
          </w:p>
        </w:tc>
        <w:tc>
          <w:tcPr>
            <w:tcW w:w="1312" w:type="pct"/>
            <w:noWrap/>
          </w:tcPr>
          <w:p w:rsidR="002C3C7D" w:rsidRPr="00F53413" w:rsidRDefault="002C3C7D" w:rsidP="002C3C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3 417</w:t>
            </w:r>
          </w:p>
        </w:tc>
        <w:tc>
          <w:tcPr>
            <w:tcW w:w="1311" w:type="pct"/>
          </w:tcPr>
          <w:p w:rsidR="002C3C7D" w:rsidRPr="00F53413" w:rsidRDefault="002C3C7D" w:rsidP="002C3C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24</w:t>
            </w:r>
          </w:p>
        </w:tc>
      </w:tr>
      <w:tr w:rsidR="002C3C7D" w:rsidRPr="00F53413" w:rsidTr="002C3C7D">
        <w:trPr>
          <w:trHeight w:val="300"/>
        </w:trPr>
        <w:tc>
          <w:tcPr>
            <w:cnfStyle w:val="001000000000" w:firstRow="0" w:lastRow="0" w:firstColumn="1" w:lastColumn="0" w:oddVBand="0" w:evenVBand="0" w:oddHBand="0" w:evenHBand="0" w:firstRowFirstColumn="0" w:firstRowLastColumn="0" w:lastRowFirstColumn="0" w:lastRowLastColumn="0"/>
            <w:tcW w:w="1394" w:type="pct"/>
            <w:noWrap/>
            <w:hideMark/>
          </w:tcPr>
          <w:p w:rsidR="002C3C7D" w:rsidRPr="00F53413" w:rsidRDefault="002C3C7D" w:rsidP="002C3C7D">
            <w:pPr>
              <w:spacing w:after="0" w:line="240" w:lineRule="auto"/>
              <w:rPr>
                <w:rFonts w:ascii="Tahoma" w:eastAsia="Times New Roman" w:hAnsi="Tahoma" w:cs="Tahoma"/>
                <w:sz w:val="20"/>
                <w:szCs w:val="20"/>
                <w:lang w:val="en-ZW" w:eastAsia="en-ZW"/>
              </w:rPr>
            </w:pPr>
            <w:r w:rsidRPr="00F53413">
              <w:rPr>
                <w:rFonts w:ascii="Tahoma" w:eastAsia="Times New Roman" w:hAnsi="Tahoma" w:cs="Tahoma"/>
                <w:sz w:val="20"/>
                <w:szCs w:val="20"/>
                <w:lang w:val="en-ZW" w:eastAsia="en-ZW"/>
              </w:rPr>
              <w:t xml:space="preserve">Palladium/kg </w:t>
            </w:r>
          </w:p>
        </w:tc>
        <w:tc>
          <w:tcPr>
            <w:tcW w:w="984" w:type="pct"/>
          </w:tcPr>
          <w:p w:rsidR="002C3C7D" w:rsidRPr="00F53413" w:rsidRDefault="002C3C7D" w:rsidP="002C3C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12 200</w:t>
            </w:r>
          </w:p>
        </w:tc>
        <w:tc>
          <w:tcPr>
            <w:tcW w:w="1312" w:type="pct"/>
            <w:noWrap/>
          </w:tcPr>
          <w:p w:rsidR="002C3C7D" w:rsidRPr="00F53413" w:rsidRDefault="002C3C7D" w:rsidP="002C3C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2 825</w:t>
            </w:r>
          </w:p>
        </w:tc>
        <w:tc>
          <w:tcPr>
            <w:tcW w:w="1311" w:type="pct"/>
          </w:tcPr>
          <w:p w:rsidR="002C3C7D" w:rsidRPr="00F53413" w:rsidRDefault="002C3C7D" w:rsidP="002C3C7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23</w:t>
            </w:r>
          </w:p>
        </w:tc>
      </w:tr>
      <w:tr w:rsidR="002C3C7D" w:rsidRPr="00F53413" w:rsidTr="002C3C7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94" w:type="pct"/>
            <w:noWrap/>
            <w:hideMark/>
          </w:tcPr>
          <w:p w:rsidR="002C3C7D" w:rsidRPr="00F53413" w:rsidRDefault="002C3C7D" w:rsidP="002C3C7D">
            <w:pPr>
              <w:spacing w:after="0" w:line="240" w:lineRule="auto"/>
              <w:rPr>
                <w:rFonts w:ascii="Tahoma" w:eastAsia="Times New Roman" w:hAnsi="Tahoma" w:cs="Tahoma"/>
                <w:sz w:val="20"/>
                <w:szCs w:val="20"/>
                <w:lang w:val="en-ZW" w:eastAsia="en-ZW"/>
              </w:rPr>
            </w:pPr>
            <w:r w:rsidRPr="00F53413">
              <w:rPr>
                <w:rFonts w:ascii="Tahoma" w:eastAsia="Times New Roman" w:hAnsi="Tahoma" w:cs="Tahoma"/>
                <w:sz w:val="20"/>
                <w:szCs w:val="20"/>
                <w:lang w:val="en-ZW" w:eastAsia="en-ZW"/>
              </w:rPr>
              <w:t>Diamonds</w:t>
            </w:r>
          </w:p>
        </w:tc>
        <w:tc>
          <w:tcPr>
            <w:tcW w:w="984" w:type="pct"/>
          </w:tcPr>
          <w:p w:rsidR="002C3C7D" w:rsidRPr="00F53413" w:rsidRDefault="002C3C7D" w:rsidP="002C3C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3 500 000</w:t>
            </w:r>
          </w:p>
        </w:tc>
        <w:tc>
          <w:tcPr>
            <w:tcW w:w="1312" w:type="pct"/>
            <w:noWrap/>
          </w:tcPr>
          <w:p w:rsidR="002C3C7D" w:rsidRPr="00F53413" w:rsidRDefault="002C3C7D" w:rsidP="002C3C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461 348</w:t>
            </w:r>
          </w:p>
        </w:tc>
        <w:tc>
          <w:tcPr>
            <w:tcW w:w="1311" w:type="pct"/>
          </w:tcPr>
          <w:p w:rsidR="002C3C7D" w:rsidRPr="00F53413" w:rsidRDefault="002C3C7D" w:rsidP="002C3C7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val="en-ZW" w:eastAsia="en-ZW"/>
              </w:rPr>
            </w:pPr>
            <w:r w:rsidRPr="00F53413">
              <w:rPr>
                <w:rFonts w:ascii="Tahoma" w:eastAsia="Times New Roman" w:hAnsi="Tahoma" w:cs="Tahoma"/>
                <w:color w:val="000000"/>
                <w:sz w:val="20"/>
                <w:szCs w:val="20"/>
                <w:lang w:val="en-ZW" w:eastAsia="en-ZW"/>
              </w:rPr>
              <w:t>13</w:t>
            </w:r>
          </w:p>
        </w:tc>
      </w:tr>
    </w:tbl>
    <w:p w:rsidR="00695727" w:rsidRDefault="00695727" w:rsidP="00695727">
      <w:pPr>
        <w:ind w:firstLine="720"/>
        <w:rPr>
          <w:rFonts w:ascii="Tahoma" w:hAnsi="Tahoma" w:cs="Tahoma"/>
          <w:i/>
          <w:sz w:val="24"/>
          <w:szCs w:val="24"/>
          <w:lang w:val="en-ZW"/>
        </w:rPr>
      </w:pPr>
      <w:bookmarkStart w:id="4" w:name="_Toc4999862"/>
      <w:r w:rsidRPr="00CD2B56">
        <w:rPr>
          <w:rFonts w:ascii="Tahoma" w:hAnsi="Tahoma" w:cs="Tahoma"/>
          <w:i/>
          <w:sz w:val="24"/>
          <w:szCs w:val="24"/>
          <w:lang w:val="en-ZW"/>
        </w:rPr>
        <w:t>Source: Ministry of Mines and Mining Development</w:t>
      </w:r>
      <w:bookmarkEnd w:id="4"/>
      <w:r w:rsidRPr="00CD2B56">
        <w:rPr>
          <w:rFonts w:ascii="Tahoma" w:hAnsi="Tahoma" w:cs="Tahoma"/>
          <w:i/>
          <w:sz w:val="24"/>
          <w:szCs w:val="24"/>
          <w:lang w:val="en-ZW"/>
        </w:rPr>
        <w:t xml:space="preserve"> </w:t>
      </w:r>
    </w:p>
    <w:p w:rsidR="002C3C7D" w:rsidRDefault="002C3C7D" w:rsidP="002C3C7D">
      <w:pPr>
        <w:rPr>
          <w:rFonts w:ascii="Tahoma" w:hAnsi="Tahoma" w:cs="Tahoma"/>
          <w:i/>
          <w:sz w:val="24"/>
          <w:szCs w:val="24"/>
          <w:lang w:val="en-ZW"/>
        </w:rPr>
      </w:pPr>
    </w:p>
    <w:p w:rsidR="00695727" w:rsidRPr="00601F13" w:rsidRDefault="00695727" w:rsidP="002C3C7D">
      <w:pPr>
        <w:spacing w:after="0" w:line="360" w:lineRule="auto"/>
        <w:ind w:firstLine="567"/>
        <w:contextualSpacing/>
        <w:jc w:val="both"/>
        <w:rPr>
          <w:rFonts w:ascii="Tahoma" w:eastAsiaTheme="majorEastAsia" w:hAnsi="Tahoma" w:cs="Tahoma"/>
          <w:i/>
          <w:sz w:val="24"/>
          <w:szCs w:val="24"/>
          <w:lang w:val="en-ZW"/>
        </w:rPr>
      </w:pPr>
      <w:bookmarkStart w:id="5" w:name="_Toc531362081"/>
      <w:bookmarkStart w:id="6" w:name="_Hlk524961095"/>
      <w:r w:rsidRPr="00601F13">
        <w:rPr>
          <w:rFonts w:ascii="Tahoma" w:eastAsiaTheme="majorEastAsia" w:hAnsi="Tahoma" w:cs="Tahoma"/>
          <w:i/>
          <w:sz w:val="24"/>
          <w:szCs w:val="24"/>
          <w:lang w:val="en-ZW"/>
        </w:rPr>
        <w:t>International Mineral Prices</w:t>
      </w:r>
      <w:bookmarkEnd w:id="5"/>
    </w:p>
    <w:p w:rsidR="00695727" w:rsidRPr="00601F13" w:rsidRDefault="00695727" w:rsidP="00695727">
      <w:pPr>
        <w:spacing w:after="0" w:line="360" w:lineRule="auto"/>
        <w:ind w:left="360"/>
        <w:contextualSpacing/>
        <w:jc w:val="both"/>
        <w:rPr>
          <w:rFonts w:ascii="Tahoma" w:hAnsi="Tahoma" w:cs="Tahoma"/>
          <w:sz w:val="24"/>
          <w:szCs w:val="24"/>
          <w:lang w:val="en-ZW"/>
        </w:rPr>
      </w:pPr>
    </w:p>
    <w:p w:rsidR="00695727" w:rsidRDefault="00695727" w:rsidP="00695727">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Average g</w:t>
      </w:r>
      <w:r w:rsidRPr="00601F13">
        <w:rPr>
          <w:rFonts w:ascii="Tahoma" w:hAnsi="Tahoma" w:cs="Tahoma"/>
          <w:sz w:val="24"/>
          <w:szCs w:val="24"/>
        </w:rPr>
        <w:t xml:space="preserve">old prices </w:t>
      </w:r>
      <w:r>
        <w:rPr>
          <w:rFonts w:ascii="Tahoma" w:hAnsi="Tahoma" w:cs="Tahoma"/>
          <w:sz w:val="24"/>
          <w:szCs w:val="24"/>
        </w:rPr>
        <w:t>for the first quarter of 2019 improved by 6%, to an average of US$1 304/ounce from US$1 228/ounce in the last quarter of 2018.</w:t>
      </w:r>
    </w:p>
    <w:p w:rsidR="00695727" w:rsidRDefault="00695727" w:rsidP="00695727">
      <w:pPr>
        <w:pStyle w:val="ListParagraph"/>
        <w:spacing w:after="160" w:line="360" w:lineRule="auto"/>
        <w:ind w:left="567"/>
        <w:jc w:val="both"/>
        <w:rPr>
          <w:rFonts w:ascii="Tahoma" w:hAnsi="Tahoma" w:cs="Tahoma"/>
          <w:sz w:val="24"/>
          <w:szCs w:val="24"/>
        </w:rPr>
      </w:pPr>
    </w:p>
    <w:p w:rsidR="00695727" w:rsidRDefault="00695727" w:rsidP="00695727">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At the same time platinum prices were relatively flat with an average of US$822/ounce.</w:t>
      </w:r>
    </w:p>
    <w:p w:rsidR="00695727" w:rsidRPr="00003829" w:rsidRDefault="00695727" w:rsidP="00695727">
      <w:pPr>
        <w:pStyle w:val="ListParagraph"/>
        <w:rPr>
          <w:rFonts w:ascii="Tahoma" w:hAnsi="Tahoma" w:cs="Tahoma"/>
          <w:sz w:val="24"/>
          <w:szCs w:val="24"/>
        </w:rPr>
      </w:pPr>
    </w:p>
    <w:p w:rsidR="00695727" w:rsidRPr="00601F13" w:rsidRDefault="00695727" w:rsidP="00695727">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Palladium prices increased to US$1 435 in the first quarter of 2019 from US$1 157/once recorded in the last quarter of 2018</w:t>
      </w:r>
    </w:p>
    <w:p w:rsidR="00695727" w:rsidRPr="00601F13" w:rsidRDefault="00695727" w:rsidP="00695727">
      <w:pPr>
        <w:spacing w:after="0" w:line="360" w:lineRule="auto"/>
        <w:contextualSpacing/>
        <w:jc w:val="both"/>
        <w:rPr>
          <w:rFonts w:ascii="Tahoma" w:hAnsi="Tahoma" w:cs="Tahoma"/>
          <w:sz w:val="24"/>
          <w:szCs w:val="24"/>
          <w:lang w:val="en-ZW"/>
        </w:rPr>
      </w:pPr>
    </w:p>
    <w:p w:rsidR="00695727" w:rsidRPr="00CD2B56" w:rsidRDefault="00695727" w:rsidP="00695727">
      <w:pPr>
        <w:spacing w:after="0" w:line="360" w:lineRule="auto"/>
        <w:jc w:val="both"/>
        <w:rPr>
          <w:rFonts w:ascii="Tahoma" w:hAnsi="Tahoma" w:cs="Tahoma"/>
          <w:b/>
          <w:bCs/>
          <w:sz w:val="24"/>
          <w:szCs w:val="24"/>
        </w:rPr>
      </w:pPr>
      <w:r w:rsidRPr="00CD2B56">
        <w:rPr>
          <w:rFonts w:ascii="Tahoma" w:hAnsi="Tahoma" w:cs="Tahoma"/>
          <w:b/>
          <w:bCs/>
          <w:sz w:val="24"/>
          <w:szCs w:val="24"/>
        </w:rPr>
        <w:t>International Prices for Selected Minerals</w:t>
      </w:r>
    </w:p>
    <w:p w:rsidR="00695727" w:rsidRPr="00CD2B56" w:rsidRDefault="00695727" w:rsidP="00695727">
      <w:pPr>
        <w:spacing w:after="0" w:line="360" w:lineRule="auto"/>
        <w:jc w:val="both"/>
        <w:rPr>
          <w:rFonts w:ascii="Tahoma" w:hAnsi="Tahoma" w:cs="Tahoma"/>
          <w:b/>
          <w:bCs/>
          <w:sz w:val="24"/>
          <w:szCs w:val="24"/>
        </w:rPr>
      </w:pPr>
      <w:r w:rsidRPr="00CD2B56">
        <w:rPr>
          <w:rFonts w:ascii="Tahoma" w:hAnsi="Tahoma" w:cs="Tahoma"/>
          <w:noProof/>
          <w:sz w:val="24"/>
          <w:szCs w:val="24"/>
          <w:lang w:val="en-ZW" w:eastAsia="en-ZW"/>
        </w:rPr>
        <w:drawing>
          <wp:inline distT="0" distB="0" distL="0" distR="0" wp14:anchorId="46AE8EA7" wp14:editId="31A374EF">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5727" w:rsidRPr="00CD2B56" w:rsidRDefault="00695727" w:rsidP="00695727">
      <w:pPr>
        <w:tabs>
          <w:tab w:val="left" w:pos="720"/>
        </w:tabs>
        <w:spacing w:after="0" w:line="360" w:lineRule="auto"/>
        <w:jc w:val="both"/>
        <w:rPr>
          <w:rFonts w:ascii="Tahoma" w:hAnsi="Tahoma" w:cs="Tahoma"/>
          <w:i/>
          <w:sz w:val="24"/>
          <w:szCs w:val="24"/>
        </w:rPr>
      </w:pPr>
      <w:r w:rsidRPr="00CD2B56">
        <w:rPr>
          <w:rFonts w:ascii="Tahoma" w:hAnsi="Tahoma" w:cs="Tahoma"/>
          <w:i/>
          <w:sz w:val="24"/>
          <w:szCs w:val="24"/>
        </w:rPr>
        <w:t>Source: World Bank</w:t>
      </w:r>
    </w:p>
    <w:bookmarkEnd w:id="6"/>
    <w:p w:rsidR="00695727" w:rsidRPr="00E85BAF" w:rsidRDefault="00695727" w:rsidP="00695727">
      <w:pPr>
        <w:rPr>
          <w:rFonts w:ascii="Tahoma" w:hAnsi="Tahoma" w:cs="Tahoma"/>
          <w:sz w:val="24"/>
          <w:szCs w:val="24"/>
        </w:rPr>
      </w:pPr>
    </w:p>
    <w:p w:rsidR="005645A8" w:rsidRPr="005645A8" w:rsidRDefault="005645A8" w:rsidP="005645A8">
      <w:pPr>
        <w:ind w:firstLine="360"/>
        <w:rPr>
          <w:rFonts w:ascii="Tahoma" w:hAnsi="Tahoma" w:cs="Tahoma"/>
          <w:b/>
          <w:sz w:val="24"/>
          <w:szCs w:val="24"/>
        </w:rPr>
      </w:pPr>
      <w:bookmarkStart w:id="7" w:name="_Toc8301962"/>
      <w:r w:rsidRPr="005645A8">
        <w:rPr>
          <w:rFonts w:ascii="Tahoma" w:hAnsi="Tahoma" w:cs="Tahoma"/>
          <w:b/>
          <w:sz w:val="24"/>
          <w:szCs w:val="24"/>
        </w:rPr>
        <w:t xml:space="preserve">Manufacturing </w:t>
      </w:r>
    </w:p>
    <w:p w:rsidR="005645A8" w:rsidRPr="005645A8" w:rsidRDefault="005645A8" w:rsidP="005645A8">
      <w:pPr>
        <w:rPr>
          <w:rFonts w:ascii="Tahoma" w:hAnsi="Tahoma" w:cs="Tahoma"/>
          <w:b/>
          <w:sz w:val="24"/>
          <w:szCs w:val="24"/>
        </w:rPr>
      </w:pPr>
    </w:p>
    <w:p w:rsidR="005645A8" w:rsidRPr="005645A8" w:rsidRDefault="005645A8" w:rsidP="00CE170E">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Performance of</w:t>
      </w:r>
      <w:r w:rsidRPr="005645A8">
        <w:rPr>
          <w:rFonts w:ascii="Tahoma" w:hAnsi="Tahoma" w:cs="Tahoma"/>
          <w:sz w:val="24"/>
          <w:szCs w:val="24"/>
        </w:rPr>
        <w:t xml:space="preserve"> </w:t>
      </w:r>
      <w:r>
        <w:rPr>
          <w:rFonts w:ascii="Tahoma" w:hAnsi="Tahoma" w:cs="Tahoma"/>
          <w:sz w:val="24"/>
          <w:szCs w:val="24"/>
        </w:rPr>
        <w:t xml:space="preserve">the </w:t>
      </w:r>
      <w:r w:rsidRPr="005645A8">
        <w:rPr>
          <w:rFonts w:ascii="Tahoma" w:hAnsi="Tahoma" w:cs="Tahoma"/>
          <w:sz w:val="24"/>
          <w:szCs w:val="24"/>
        </w:rPr>
        <w:t xml:space="preserve">manufacturing sector </w:t>
      </w:r>
      <w:r>
        <w:rPr>
          <w:rFonts w:ascii="Tahoma" w:hAnsi="Tahoma" w:cs="Tahoma"/>
          <w:sz w:val="24"/>
          <w:szCs w:val="24"/>
        </w:rPr>
        <w:t>continue</w:t>
      </w:r>
      <w:r w:rsidR="00443119">
        <w:rPr>
          <w:rFonts w:ascii="Tahoma" w:hAnsi="Tahoma" w:cs="Tahoma"/>
          <w:sz w:val="24"/>
          <w:szCs w:val="24"/>
        </w:rPr>
        <w:t>s</w:t>
      </w:r>
      <w:r>
        <w:rPr>
          <w:rFonts w:ascii="Tahoma" w:hAnsi="Tahoma" w:cs="Tahoma"/>
          <w:sz w:val="24"/>
          <w:szCs w:val="24"/>
        </w:rPr>
        <w:t xml:space="preserve"> to be restrained by challenges related to financing, utilities, inputs supply and foreign currency availability. The sector is therefore </w:t>
      </w:r>
      <w:r w:rsidRPr="005645A8">
        <w:rPr>
          <w:rFonts w:ascii="Tahoma" w:hAnsi="Tahoma" w:cs="Tahoma"/>
          <w:sz w:val="24"/>
          <w:szCs w:val="24"/>
        </w:rPr>
        <w:t xml:space="preserve">expected to </w:t>
      </w:r>
      <w:r>
        <w:rPr>
          <w:rFonts w:ascii="Tahoma" w:hAnsi="Tahoma" w:cs="Tahoma"/>
          <w:sz w:val="24"/>
          <w:szCs w:val="24"/>
        </w:rPr>
        <w:t xml:space="preserve">record marginal growth of </w:t>
      </w:r>
      <w:r w:rsidRPr="005645A8">
        <w:rPr>
          <w:rFonts w:ascii="Tahoma" w:hAnsi="Tahoma" w:cs="Tahoma"/>
          <w:sz w:val="24"/>
          <w:szCs w:val="24"/>
        </w:rPr>
        <w:t>0.1% in 2019</w:t>
      </w:r>
      <w:r>
        <w:rPr>
          <w:rFonts w:ascii="Tahoma" w:hAnsi="Tahoma" w:cs="Tahoma"/>
          <w:sz w:val="24"/>
          <w:szCs w:val="24"/>
        </w:rPr>
        <w:t>.</w:t>
      </w:r>
    </w:p>
    <w:p w:rsidR="005645A8" w:rsidRPr="005645A8" w:rsidRDefault="005645A8" w:rsidP="005645A8">
      <w:pPr>
        <w:pStyle w:val="ListParagraph"/>
        <w:spacing w:line="360" w:lineRule="auto"/>
        <w:rPr>
          <w:rFonts w:ascii="Tahoma" w:hAnsi="Tahoma" w:cs="Tahoma"/>
          <w:sz w:val="24"/>
          <w:szCs w:val="24"/>
        </w:rPr>
      </w:pPr>
    </w:p>
    <w:tbl>
      <w:tblPr>
        <w:tblStyle w:val="GridTable4-Accent5"/>
        <w:tblW w:w="8316" w:type="dxa"/>
        <w:tblLook w:val="04A0" w:firstRow="1" w:lastRow="0" w:firstColumn="1" w:lastColumn="0" w:noHBand="0" w:noVBand="1"/>
      </w:tblPr>
      <w:tblGrid>
        <w:gridCol w:w="2816"/>
        <w:gridCol w:w="1156"/>
        <w:gridCol w:w="1116"/>
        <w:gridCol w:w="1016"/>
        <w:gridCol w:w="1196"/>
        <w:gridCol w:w="1016"/>
      </w:tblGrid>
      <w:tr w:rsidR="005645A8" w:rsidRPr="00712426" w:rsidTr="00927493">
        <w:trPr>
          <w:cnfStyle w:val="100000000000" w:firstRow="1" w:lastRow="0" w:firstColumn="0" w:lastColumn="0" w:oddVBand="0" w:evenVBand="0" w:oddHBand="0"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816" w:type="dxa"/>
            <w:noWrap/>
            <w:hideMark/>
          </w:tcPr>
          <w:p w:rsidR="005645A8" w:rsidRPr="00CE170E" w:rsidRDefault="005645A8" w:rsidP="00927493">
            <w:pPr>
              <w:rPr>
                <w:rFonts w:ascii="Tahoma" w:eastAsia="Times New Roman" w:hAnsi="Tahoma" w:cs="Tahoma"/>
                <w:color w:val="000000"/>
                <w:sz w:val="20"/>
                <w:szCs w:val="20"/>
                <w:lang w:eastAsia="en-ZW"/>
              </w:rPr>
            </w:pPr>
            <w:r w:rsidRPr="00CE170E">
              <w:rPr>
                <w:rFonts w:ascii="Tahoma" w:eastAsia="Times New Roman" w:hAnsi="Tahoma" w:cs="Tahoma"/>
                <w:color w:val="000000"/>
                <w:sz w:val="20"/>
                <w:szCs w:val="20"/>
                <w:lang w:eastAsia="en-ZW"/>
              </w:rPr>
              <w:t xml:space="preserve">Manufacturing </w:t>
            </w:r>
          </w:p>
        </w:tc>
        <w:tc>
          <w:tcPr>
            <w:tcW w:w="1156" w:type="dxa"/>
            <w:noWrap/>
            <w:hideMark/>
          </w:tcPr>
          <w:p w:rsidR="005645A8" w:rsidRPr="00CE170E" w:rsidRDefault="005645A8" w:rsidP="00927493">
            <w:pPr>
              <w:jc w:val="right"/>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CE170E">
              <w:rPr>
                <w:rFonts w:ascii="Tahoma" w:eastAsia="Times New Roman" w:hAnsi="Tahoma" w:cs="Tahoma"/>
                <w:sz w:val="20"/>
                <w:szCs w:val="20"/>
                <w:lang w:eastAsia="en-ZW"/>
              </w:rPr>
              <w:t>2016</w:t>
            </w:r>
          </w:p>
        </w:tc>
        <w:tc>
          <w:tcPr>
            <w:tcW w:w="1116" w:type="dxa"/>
            <w:noWrap/>
            <w:hideMark/>
          </w:tcPr>
          <w:p w:rsidR="005645A8" w:rsidRPr="00CE170E" w:rsidRDefault="005645A8" w:rsidP="00927493">
            <w:pPr>
              <w:jc w:val="right"/>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CE170E">
              <w:rPr>
                <w:rFonts w:ascii="Tahoma" w:eastAsia="Times New Roman" w:hAnsi="Tahoma" w:cs="Tahoma"/>
                <w:sz w:val="20"/>
                <w:szCs w:val="20"/>
                <w:lang w:eastAsia="en-ZW"/>
              </w:rPr>
              <w:t>2017</w:t>
            </w:r>
          </w:p>
        </w:tc>
        <w:tc>
          <w:tcPr>
            <w:tcW w:w="1016" w:type="dxa"/>
            <w:noWrap/>
            <w:hideMark/>
          </w:tcPr>
          <w:p w:rsidR="005645A8" w:rsidRPr="00CE170E" w:rsidRDefault="005645A8" w:rsidP="00927493">
            <w:pPr>
              <w:jc w:val="right"/>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CE170E">
              <w:rPr>
                <w:rFonts w:ascii="Tahoma" w:eastAsia="Times New Roman" w:hAnsi="Tahoma" w:cs="Tahoma"/>
                <w:sz w:val="20"/>
                <w:szCs w:val="20"/>
                <w:lang w:eastAsia="en-ZW"/>
              </w:rPr>
              <w:t>2018</w:t>
            </w:r>
          </w:p>
        </w:tc>
        <w:tc>
          <w:tcPr>
            <w:tcW w:w="1196" w:type="dxa"/>
            <w:noWrap/>
            <w:hideMark/>
          </w:tcPr>
          <w:p w:rsidR="005645A8" w:rsidRPr="00CE170E" w:rsidRDefault="005645A8" w:rsidP="00927493">
            <w:pPr>
              <w:jc w:val="right"/>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CE170E">
              <w:rPr>
                <w:rFonts w:ascii="Tahoma" w:eastAsia="Times New Roman" w:hAnsi="Tahoma" w:cs="Tahoma"/>
                <w:sz w:val="20"/>
                <w:szCs w:val="20"/>
                <w:lang w:eastAsia="en-ZW"/>
              </w:rPr>
              <w:t>2019</w:t>
            </w:r>
          </w:p>
        </w:tc>
        <w:tc>
          <w:tcPr>
            <w:tcW w:w="1016" w:type="dxa"/>
            <w:noWrap/>
            <w:hideMark/>
          </w:tcPr>
          <w:p w:rsidR="005645A8" w:rsidRPr="00CE170E" w:rsidRDefault="005645A8" w:rsidP="00927493">
            <w:pPr>
              <w:jc w:val="right"/>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20"/>
                <w:szCs w:val="20"/>
                <w:lang w:eastAsia="en-ZW"/>
              </w:rPr>
            </w:pPr>
            <w:r w:rsidRPr="00CE170E">
              <w:rPr>
                <w:rFonts w:ascii="Tahoma" w:eastAsia="Times New Roman" w:hAnsi="Tahoma" w:cs="Tahoma"/>
                <w:sz w:val="20"/>
                <w:szCs w:val="20"/>
                <w:lang w:eastAsia="en-ZW"/>
              </w:rPr>
              <w:t>2020</w:t>
            </w:r>
          </w:p>
        </w:tc>
      </w:tr>
      <w:tr w:rsidR="008E6C48" w:rsidRPr="00712426" w:rsidTr="0092749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816" w:type="dxa"/>
            <w:noWrap/>
            <w:hideMark/>
          </w:tcPr>
          <w:p w:rsidR="008E6C48" w:rsidRPr="00CE170E" w:rsidRDefault="008E6C48" w:rsidP="00927493">
            <w:pPr>
              <w:rPr>
                <w:rFonts w:ascii="Tahoma" w:eastAsia="Times New Roman" w:hAnsi="Tahoma" w:cs="Tahoma"/>
                <w:color w:val="000000"/>
                <w:sz w:val="20"/>
                <w:szCs w:val="20"/>
                <w:lang w:eastAsia="en-ZW"/>
              </w:rPr>
            </w:pPr>
            <w:r w:rsidRPr="00CE170E">
              <w:rPr>
                <w:rFonts w:ascii="Tahoma" w:eastAsia="Times New Roman" w:hAnsi="Tahoma" w:cs="Tahoma"/>
                <w:color w:val="000000"/>
                <w:sz w:val="20"/>
                <w:szCs w:val="20"/>
                <w:lang w:eastAsia="en-ZW"/>
              </w:rPr>
              <w:t xml:space="preserve">Growth Rate </w:t>
            </w:r>
          </w:p>
        </w:tc>
        <w:tc>
          <w:tcPr>
            <w:tcW w:w="1156" w:type="dxa"/>
            <w:noWrap/>
            <w:hideMark/>
          </w:tcPr>
          <w:p w:rsidR="008E6C48" w:rsidRPr="00CE170E" w:rsidRDefault="008E6C4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lang w:eastAsia="en-ZW"/>
              </w:rPr>
            </w:pPr>
            <w:r w:rsidRPr="00CE170E">
              <w:rPr>
                <w:rFonts w:ascii="Tahoma" w:eastAsia="Times New Roman" w:hAnsi="Tahoma" w:cs="Tahoma"/>
                <w:b/>
                <w:bCs/>
                <w:sz w:val="20"/>
                <w:szCs w:val="20"/>
                <w:lang w:eastAsia="en-ZW"/>
              </w:rPr>
              <w:t>0.9</w:t>
            </w:r>
          </w:p>
        </w:tc>
        <w:tc>
          <w:tcPr>
            <w:tcW w:w="1116" w:type="dxa"/>
            <w:noWrap/>
            <w:hideMark/>
          </w:tcPr>
          <w:p w:rsidR="008E6C48" w:rsidRPr="00CE170E" w:rsidRDefault="008E6C4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lang w:eastAsia="en-ZW"/>
              </w:rPr>
            </w:pPr>
            <w:r w:rsidRPr="00CE170E">
              <w:rPr>
                <w:rFonts w:ascii="Tahoma" w:eastAsia="Times New Roman" w:hAnsi="Tahoma" w:cs="Tahoma"/>
                <w:b/>
                <w:bCs/>
                <w:sz w:val="20"/>
                <w:szCs w:val="20"/>
                <w:lang w:eastAsia="en-ZW"/>
              </w:rPr>
              <w:t>1.0</w:t>
            </w:r>
          </w:p>
        </w:tc>
        <w:tc>
          <w:tcPr>
            <w:tcW w:w="1016" w:type="dxa"/>
            <w:noWrap/>
            <w:hideMark/>
          </w:tcPr>
          <w:p w:rsidR="008E6C48" w:rsidRPr="00CE170E" w:rsidRDefault="008E6C4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lang w:eastAsia="en-ZW"/>
              </w:rPr>
            </w:pPr>
            <w:r w:rsidRPr="00CE170E">
              <w:rPr>
                <w:rFonts w:ascii="Tahoma" w:eastAsia="Times New Roman" w:hAnsi="Tahoma" w:cs="Tahoma"/>
                <w:b/>
                <w:bCs/>
                <w:sz w:val="20"/>
                <w:szCs w:val="20"/>
                <w:lang w:eastAsia="en-ZW"/>
              </w:rPr>
              <w:t>1.3</w:t>
            </w:r>
          </w:p>
        </w:tc>
        <w:tc>
          <w:tcPr>
            <w:tcW w:w="1196" w:type="dxa"/>
            <w:noWrap/>
            <w:hideMark/>
          </w:tcPr>
          <w:p w:rsidR="008E6C48" w:rsidRPr="00CE170E" w:rsidRDefault="008E6C4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lang w:eastAsia="en-ZW"/>
              </w:rPr>
            </w:pPr>
            <w:r w:rsidRPr="00CE170E">
              <w:rPr>
                <w:rFonts w:ascii="Tahoma" w:eastAsia="Times New Roman" w:hAnsi="Tahoma" w:cs="Tahoma"/>
                <w:b/>
                <w:bCs/>
                <w:sz w:val="20"/>
                <w:szCs w:val="20"/>
                <w:lang w:eastAsia="en-ZW"/>
              </w:rPr>
              <w:t>0.1</w:t>
            </w:r>
          </w:p>
        </w:tc>
        <w:tc>
          <w:tcPr>
            <w:tcW w:w="1016" w:type="dxa"/>
            <w:noWrap/>
            <w:hideMark/>
          </w:tcPr>
          <w:p w:rsidR="008E6C48" w:rsidRPr="00CE170E" w:rsidRDefault="008E6C4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20"/>
                <w:szCs w:val="20"/>
                <w:lang w:eastAsia="en-ZW"/>
              </w:rPr>
            </w:pPr>
            <w:r w:rsidRPr="00CE170E">
              <w:rPr>
                <w:rFonts w:ascii="Tahoma" w:eastAsia="Times New Roman" w:hAnsi="Tahoma" w:cs="Tahoma"/>
                <w:b/>
                <w:bCs/>
                <w:sz w:val="20"/>
                <w:szCs w:val="20"/>
                <w:lang w:eastAsia="en-ZW"/>
              </w:rPr>
              <w:t>9.2</w:t>
            </w:r>
          </w:p>
        </w:tc>
      </w:tr>
      <w:tr w:rsidR="008E6C48" w:rsidRPr="00712426" w:rsidTr="00927493">
        <w:trPr>
          <w:trHeight w:val="225"/>
        </w:trPr>
        <w:tc>
          <w:tcPr>
            <w:cnfStyle w:val="001000000000" w:firstRow="0" w:lastRow="0" w:firstColumn="1" w:lastColumn="0" w:oddVBand="0" w:evenVBand="0" w:oddHBand="0" w:evenHBand="0" w:firstRowFirstColumn="0" w:firstRowLastColumn="0" w:lastRowFirstColumn="0" w:lastRowLastColumn="0"/>
            <w:tcW w:w="2816" w:type="dxa"/>
            <w:noWrap/>
            <w:hideMark/>
          </w:tcPr>
          <w:p w:rsidR="005645A8" w:rsidRPr="00CE170E" w:rsidRDefault="005645A8" w:rsidP="00927493">
            <w:pPr>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Foodstuffs</w:t>
            </w:r>
          </w:p>
        </w:tc>
        <w:tc>
          <w:tcPr>
            <w:tcW w:w="115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100.0</w:t>
            </w:r>
          </w:p>
        </w:tc>
        <w:tc>
          <w:tcPr>
            <w:tcW w:w="111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101.0</w:t>
            </w:r>
          </w:p>
        </w:tc>
        <w:tc>
          <w:tcPr>
            <w:tcW w:w="101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101.8</w:t>
            </w:r>
          </w:p>
        </w:tc>
        <w:tc>
          <w:tcPr>
            <w:tcW w:w="119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101.4</w:t>
            </w:r>
          </w:p>
        </w:tc>
        <w:tc>
          <w:tcPr>
            <w:tcW w:w="101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105</w:t>
            </w:r>
          </w:p>
        </w:tc>
      </w:tr>
      <w:tr w:rsidR="008E6C48" w:rsidRPr="00712426" w:rsidTr="0092749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816" w:type="dxa"/>
            <w:noWrap/>
            <w:hideMark/>
          </w:tcPr>
          <w:p w:rsidR="005645A8" w:rsidRPr="00CE170E" w:rsidRDefault="005645A8" w:rsidP="00927493">
            <w:pPr>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Drinks, Tobacco and Beverages</w:t>
            </w:r>
          </w:p>
        </w:tc>
        <w:tc>
          <w:tcPr>
            <w:tcW w:w="115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97.8</w:t>
            </w:r>
          </w:p>
        </w:tc>
        <w:tc>
          <w:tcPr>
            <w:tcW w:w="111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98.5</w:t>
            </w:r>
          </w:p>
        </w:tc>
        <w:tc>
          <w:tcPr>
            <w:tcW w:w="101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99</w:t>
            </w:r>
          </w:p>
        </w:tc>
        <w:tc>
          <w:tcPr>
            <w:tcW w:w="119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98.5</w:t>
            </w:r>
          </w:p>
        </w:tc>
        <w:tc>
          <w:tcPr>
            <w:tcW w:w="101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sz w:val="20"/>
                <w:szCs w:val="20"/>
                <w:lang w:eastAsia="en-ZW"/>
              </w:rPr>
            </w:pPr>
            <w:r w:rsidRPr="00CE170E">
              <w:rPr>
                <w:rFonts w:ascii="Tahoma" w:eastAsia="Times New Roman" w:hAnsi="Tahoma" w:cs="Tahoma"/>
                <w:i/>
                <w:sz w:val="20"/>
                <w:szCs w:val="20"/>
                <w:lang w:eastAsia="en-ZW"/>
              </w:rPr>
              <w:t>102.9</w:t>
            </w:r>
          </w:p>
        </w:tc>
      </w:tr>
      <w:tr w:rsidR="008E6C48" w:rsidRPr="00712426" w:rsidTr="00927493">
        <w:trPr>
          <w:trHeight w:val="225"/>
        </w:trPr>
        <w:tc>
          <w:tcPr>
            <w:cnfStyle w:val="001000000000" w:firstRow="0" w:lastRow="0" w:firstColumn="1" w:lastColumn="0" w:oddVBand="0" w:evenVBand="0" w:oddHBand="0" w:evenHBand="0" w:firstRowFirstColumn="0" w:firstRowLastColumn="0" w:lastRowFirstColumn="0" w:lastRowLastColumn="0"/>
            <w:tcW w:w="2816" w:type="dxa"/>
            <w:noWrap/>
            <w:hideMark/>
          </w:tcPr>
          <w:p w:rsidR="005645A8" w:rsidRPr="00CE170E" w:rsidRDefault="005645A8" w:rsidP="00927493">
            <w:pPr>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Textiles and Ginning</w:t>
            </w:r>
          </w:p>
        </w:tc>
        <w:tc>
          <w:tcPr>
            <w:tcW w:w="115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78.0</w:t>
            </w:r>
          </w:p>
        </w:tc>
        <w:tc>
          <w:tcPr>
            <w:tcW w:w="111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80.0</w:t>
            </w:r>
          </w:p>
        </w:tc>
        <w:tc>
          <w:tcPr>
            <w:tcW w:w="101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80.1</w:t>
            </w:r>
          </w:p>
        </w:tc>
        <w:tc>
          <w:tcPr>
            <w:tcW w:w="119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80</w:t>
            </w:r>
          </w:p>
        </w:tc>
        <w:tc>
          <w:tcPr>
            <w:tcW w:w="101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sz w:val="20"/>
                <w:szCs w:val="20"/>
                <w:lang w:eastAsia="en-ZW"/>
              </w:rPr>
            </w:pPr>
            <w:r w:rsidRPr="00CE170E">
              <w:rPr>
                <w:rFonts w:ascii="Tahoma" w:eastAsia="Times New Roman" w:hAnsi="Tahoma" w:cs="Tahoma"/>
                <w:i/>
                <w:sz w:val="20"/>
                <w:szCs w:val="20"/>
                <w:lang w:eastAsia="en-ZW"/>
              </w:rPr>
              <w:t>82.5</w:t>
            </w:r>
          </w:p>
        </w:tc>
      </w:tr>
      <w:tr w:rsidR="008E6C48" w:rsidRPr="00712426" w:rsidTr="0092749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816" w:type="dxa"/>
            <w:noWrap/>
            <w:hideMark/>
          </w:tcPr>
          <w:p w:rsidR="005645A8" w:rsidRPr="00CE170E" w:rsidRDefault="005645A8" w:rsidP="00927493">
            <w:pPr>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 xml:space="preserve">Clothing and Footwear </w:t>
            </w:r>
          </w:p>
        </w:tc>
        <w:tc>
          <w:tcPr>
            <w:tcW w:w="115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95.0</w:t>
            </w:r>
          </w:p>
        </w:tc>
        <w:tc>
          <w:tcPr>
            <w:tcW w:w="111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95.0</w:t>
            </w:r>
          </w:p>
        </w:tc>
        <w:tc>
          <w:tcPr>
            <w:tcW w:w="101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95.6</w:t>
            </w:r>
          </w:p>
        </w:tc>
        <w:tc>
          <w:tcPr>
            <w:tcW w:w="119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sz w:val="20"/>
                <w:szCs w:val="20"/>
                <w:lang w:eastAsia="en-ZW"/>
              </w:rPr>
            </w:pPr>
            <w:r w:rsidRPr="00CE170E">
              <w:rPr>
                <w:rFonts w:ascii="Tahoma" w:eastAsia="Times New Roman" w:hAnsi="Tahoma" w:cs="Tahoma"/>
                <w:i/>
                <w:sz w:val="20"/>
                <w:szCs w:val="20"/>
                <w:lang w:eastAsia="en-ZW"/>
              </w:rPr>
              <w:t>96.0</w:t>
            </w:r>
          </w:p>
        </w:tc>
        <w:tc>
          <w:tcPr>
            <w:tcW w:w="101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sz w:val="20"/>
                <w:szCs w:val="20"/>
                <w:lang w:eastAsia="en-ZW"/>
              </w:rPr>
            </w:pPr>
            <w:r w:rsidRPr="00CE170E">
              <w:rPr>
                <w:rFonts w:ascii="Tahoma" w:eastAsia="Times New Roman" w:hAnsi="Tahoma" w:cs="Tahoma"/>
                <w:i/>
                <w:sz w:val="20"/>
                <w:szCs w:val="20"/>
                <w:lang w:eastAsia="en-ZW"/>
              </w:rPr>
              <w:t>98.0</w:t>
            </w:r>
          </w:p>
        </w:tc>
      </w:tr>
      <w:tr w:rsidR="008E6C48" w:rsidRPr="00712426" w:rsidTr="00927493">
        <w:trPr>
          <w:trHeight w:val="225"/>
        </w:trPr>
        <w:tc>
          <w:tcPr>
            <w:cnfStyle w:val="001000000000" w:firstRow="0" w:lastRow="0" w:firstColumn="1" w:lastColumn="0" w:oddVBand="0" w:evenVBand="0" w:oddHBand="0" w:evenHBand="0" w:firstRowFirstColumn="0" w:firstRowLastColumn="0" w:lastRowFirstColumn="0" w:lastRowLastColumn="0"/>
            <w:tcW w:w="2816" w:type="dxa"/>
            <w:noWrap/>
            <w:hideMark/>
          </w:tcPr>
          <w:p w:rsidR="005645A8" w:rsidRPr="00CE170E" w:rsidRDefault="005645A8" w:rsidP="00927493">
            <w:pPr>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Wood and Furniture</w:t>
            </w:r>
          </w:p>
        </w:tc>
        <w:tc>
          <w:tcPr>
            <w:tcW w:w="115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96.2</w:t>
            </w:r>
          </w:p>
        </w:tc>
        <w:tc>
          <w:tcPr>
            <w:tcW w:w="111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98.2</w:t>
            </w:r>
          </w:p>
        </w:tc>
        <w:tc>
          <w:tcPr>
            <w:tcW w:w="101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98.3</w:t>
            </w:r>
          </w:p>
        </w:tc>
        <w:tc>
          <w:tcPr>
            <w:tcW w:w="119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98.5</w:t>
            </w:r>
          </w:p>
        </w:tc>
        <w:tc>
          <w:tcPr>
            <w:tcW w:w="101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110</w:t>
            </w:r>
          </w:p>
        </w:tc>
      </w:tr>
      <w:tr w:rsidR="008E6C48" w:rsidRPr="00712426" w:rsidTr="0092749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816" w:type="dxa"/>
            <w:noWrap/>
            <w:hideMark/>
          </w:tcPr>
          <w:p w:rsidR="005645A8" w:rsidRPr="00CE170E" w:rsidRDefault="005645A8" w:rsidP="00927493">
            <w:pPr>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Paper, printing and Publishing</w:t>
            </w:r>
          </w:p>
        </w:tc>
        <w:tc>
          <w:tcPr>
            <w:tcW w:w="115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90.4</w:t>
            </w:r>
          </w:p>
        </w:tc>
        <w:tc>
          <w:tcPr>
            <w:tcW w:w="111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91.0</w:t>
            </w:r>
          </w:p>
        </w:tc>
        <w:tc>
          <w:tcPr>
            <w:tcW w:w="101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96</w:t>
            </w:r>
          </w:p>
        </w:tc>
        <w:tc>
          <w:tcPr>
            <w:tcW w:w="119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93</w:t>
            </w:r>
          </w:p>
        </w:tc>
        <w:tc>
          <w:tcPr>
            <w:tcW w:w="101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96</w:t>
            </w:r>
          </w:p>
        </w:tc>
      </w:tr>
      <w:tr w:rsidR="008E6C48" w:rsidRPr="00712426" w:rsidTr="00927493">
        <w:trPr>
          <w:trHeight w:val="225"/>
        </w:trPr>
        <w:tc>
          <w:tcPr>
            <w:cnfStyle w:val="001000000000" w:firstRow="0" w:lastRow="0" w:firstColumn="1" w:lastColumn="0" w:oddVBand="0" w:evenVBand="0" w:oddHBand="0" w:evenHBand="0" w:firstRowFirstColumn="0" w:firstRowLastColumn="0" w:lastRowFirstColumn="0" w:lastRowLastColumn="0"/>
            <w:tcW w:w="2816" w:type="dxa"/>
            <w:noWrap/>
            <w:hideMark/>
          </w:tcPr>
          <w:p w:rsidR="005645A8" w:rsidRPr="00CE170E" w:rsidRDefault="005645A8" w:rsidP="00927493">
            <w:pPr>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Chemical and Petroleum Products</w:t>
            </w:r>
          </w:p>
        </w:tc>
        <w:tc>
          <w:tcPr>
            <w:tcW w:w="115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87.4</w:t>
            </w:r>
          </w:p>
        </w:tc>
        <w:tc>
          <w:tcPr>
            <w:tcW w:w="111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88.0</w:t>
            </w:r>
          </w:p>
        </w:tc>
        <w:tc>
          <w:tcPr>
            <w:tcW w:w="101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89</w:t>
            </w:r>
          </w:p>
        </w:tc>
        <w:tc>
          <w:tcPr>
            <w:tcW w:w="119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90</w:t>
            </w:r>
          </w:p>
        </w:tc>
        <w:tc>
          <w:tcPr>
            <w:tcW w:w="101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110</w:t>
            </w:r>
          </w:p>
        </w:tc>
      </w:tr>
      <w:tr w:rsidR="008E6C48" w:rsidRPr="00712426" w:rsidTr="0092749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816" w:type="dxa"/>
            <w:noWrap/>
            <w:hideMark/>
          </w:tcPr>
          <w:p w:rsidR="005645A8" w:rsidRPr="00CE170E" w:rsidRDefault="005645A8" w:rsidP="00927493">
            <w:pPr>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Non metallic mineral products</w:t>
            </w:r>
          </w:p>
        </w:tc>
        <w:tc>
          <w:tcPr>
            <w:tcW w:w="115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144.0</w:t>
            </w:r>
          </w:p>
        </w:tc>
        <w:tc>
          <w:tcPr>
            <w:tcW w:w="111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143.2</w:t>
            </w:r>
          </w:p>
        </w:tc>
        <w:tc>
          <w:tcPr>
            <w:tcW w:w="101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143.5</w:t>
            </w:r>
          </w:p>
        </w:tc>
        <w:tc>
          <w:tcPr>
            <w:tcW w:w="119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146</w:t>
            </w:r>
          </w:p>
        </w:tc>
        <w:tc>
          <w:tcPr>
            <w:tcW w:w="101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160</w:t>
            </w:r>
          </w:p>
        </w:tc>
      </w:tr>
      <w:tr w:rsidR="008E6C48" w:rsidRPr="00712426" w:rsidTr="00927493">
        <w:trPr>
          <w:trHeight w:val="225"/>
        </w:trPr>
        <w:tc>
          <w:tcPr>
            <w:cnfStyle w:val="001000000000" w:firstRow="0" w:lastRow="0" w:firstColumn="1" w:lastColumn="0" w:oddVBand="0" w:evenVBand="0" w:oddHBand="0" w:evenHBand="0" w:firstRowFirstColumn="0" w:firstRowLastColumn="0" w:lastRowFirstColumn="0" w:lastRowLastColumn="0"/>
            <w:tcW w:w="2816" w:type="dxa"/>
            <w:noWrap/>
            <w:hideMark/>
          </w:tcPr>
          <w:p w:rsidR="005645A8" w:rsidRPr="00CE170E" w:rsidRDefault="005645A8" w:rsidP="00927493">
            <w:pPr>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Metals and Metal products</w:t>
            </w:r>
          </w:p>
        </w:tc>
        <w:tc>
          <w:tcPr>
            <w:tcW w:w="115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66.5</w:t>
            </w:r>
          </w:p>
        </w:tc>
        <w:tc>
          <w:tcPr>
            <w:tcW w:w="111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70.0</w:t>
            </w:r>
          </w:p>
        </w:tc>
        <w:tc>
          <w:tcPr>
            <w:tcW w:w="101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73</w:t>
            </w:r>
          </w:p>
        </w:tc>
        <w:tc>
          <w:tcPr>
            <w:tcW w:w="119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73</w:t>
            </w:r>
          </w:p>
        </w:tc>
        <w:tc>
          <w:tcPr>
            <w:tcW w:w="101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90</w:t>
            </w:r>
          </w:p>
        </w:tc>
      </w:tr>
      <w:tr w:rsidR="008E6C48" w:rsidRPr="00712426" w:rsidTr="0092749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816" w:type="dxa"/>
            <w:noWrap/>
            <w:hideMark/>
          </w:tcPr>
          <w:p w:rsidR="005645A8" w:rsidRPr="00CE170E" w:rsidRDefault="005645A8" w:rsidP="00927493">
            <w:pPr>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Transport, Equipment</w:t>
            </w:r>
          </w:p>
        </w:tc>
        <w:tc>
          <w:tcPr>
            <w:tcW w:w="115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66.0</w:t>
            </w:r>
          </w:p>
        </w:tc>
        <w:tc>
          <w:tcPr>
            <w:tcW w:w="111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66.0</w:t>
            </w:r>
          </w:p>
        </w:tc>
        <w:tc>
          <w:tcPr>
            <w:tcW w:w="101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66.5</w:t>
            </w:r>
          </w:p>
        </w:tc>
        <w:tc>
          <w:tcPr>
            <w:tcW w:w="119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67</w:t>
            </w:r>
          </w:p>
        </w:tc>
        <w:tc>
          <w:tcPr>
            <w:tcW w:w="101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90</w:t>
            </w:r>
          </w:p>
        </w:tc>
      </w:tr>
      <w:tr w:rsidR="008E6C48" w:rsidRPr="00712426" w:rsidTr="00927493">
        <w:trPr>
          <w:trHeight w:val="225"/>
        </w:trPr>
        <w:tc>
          <w:tcPr>
            <w:cnfStyle w:val="001000000000" w:firstRow="0" w:lastRow="0" w:firstColumn="1" w:lastColumn="0" w:oddVBand="0" w:evenVBand="0" w:oddHBand="0" w:evenHBand="0" w:firstRowFirstColumn="0" w:firstRowLastColumn="0" w:lastRowFirstColumn="0" w:lastRowLastColumn="0"/>
            <w:tcW w:w="2816" w:type="dxa"/>
            <w:noWrap/>
            <w:hideMark/>
          </w:tcPr>
          <w:p w:rsidR="005645A8" w:rsidRPr="00CE170E" w:rsidRDefault="005645A8" w:rsidP="00927493">
            <w:pPr>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Other manufactured goods</w:t>
            </w:r>
          </w:p>
        </w:tc>
        <w:tc>
          <w:tcPr>
            <w:tcW w:w="115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66.7</w:t>
            </w:r>
          </w:p>
        </w:tc>
        <w:tc>
          <w:tcPr>
            <w:tcW w:w="111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66.7</w:t>
            </w:r>
          </w:p>
        </w:tc>
        <w:tc>
          <w:tcPr>
            <w:tcW w:w="101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67</w:t>
            </w:r>
          </w:p>
        </w:tc>
        <w:tc>
          <w:tcPr>
            <w:tcW w:w="119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68</w:t>
            </w:r>
          </w:p>
        </w:tc>
        <w:tc>
          <w:tcPr>
            <w:tcW w:w="1016" w:type="dxa"/>
            <w:noWrap/>
            <w:hideMark/>
          </w:tcPr>
          <w:p w:rsidR="005645A8" w:rsidRPr="00CE170E" w:rsidRDefault="005645A8" w:rsidP="00927493">
            <w:pPr>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69</w:t>
            </w:r>
          </w:p>
        </w:tc>
      </w:tr>
      <w:tr w:rsidR="008E6C48" w:rsidRPr="00712426" w:rsidTr="0092749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816" w:type="dxa"/>
            <w:noWrap/>
            <w:hideMark/>
          </w:tcPr>
          <w:p w:rsidR="005645A8" w:rsidRPr="00CE170E" w:rsidRDefault="005645A8" w:rsidP="00927493">
            <w:pPr>
              <w:rPr>
                <w:rFonts w:ascii="Tahoma" w:eastAsia="Times New Roman" w:hAnsi="Tahoma" w:cs="Tahoma"/>
                <w:i/>
                <w:color w:val="000000"/>
                <w:sz w:val="20"/>
                <w:szCs w:val="20"/>
                <w:lang w:eastAsia="en-ZW"/>
              </w:rPr>
            </w:pPr>
            <w:r w:rsidRPr="00CE170E">
              <w:rPr>
                <w:rFonts w:ascii="Tahoma" w:eastAsia="Times New Roman" w:hAnsi="Tahoma" w:cs="Tahoma"/>
                <w:i/>
                <w:color w:val="000000"/>
                <w:sz w:val="20"/>
                <w:szCs w:val="20"/>
                <w:lang w:eastAsia="en-ZW"/>
              </w:rPr>
              <w:t>Manufacturing Index</w:t>
            </w:r>
          </w:p>
        </w:tc>
        <w:tc>
          <w:tcPr>
            <w:tcW w:w="115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i/>
                <w:color w:val="000000"/>
                <w:sz w:val="20"/>
                <w:szCs w:val="20"/>
                <w:lang w:eastAsia="en-ZW"/>
              </w:rPr>
            </w:pPr>
            <w:r w:rsidRPr="00CE170E">
              <w:rPr>
                <w:rFonts w:ascii="Tahoma" w:eastAsia="Times New Roman" w:hAnsi="Tahoma" w:cs="Tahoma"/>
                <w:b/>
                <w:bCs/>
                <w:i/>
                <w:color w:val="000000"/>
                <w:sz w:val="20"/>
                <w:szCs w:val="20"/>
                <w:lang w:eastAsia="en-ZW"/>
              </w:rPr>
              <w:t>90.7</w:t>
            </w:r>
          </w:p>
        </w:tc>
        <w:tc>
          <w:tcPr>
            <w:tcW w:w="111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i/>
                <w:color w:val="000000"/>
                <w:sz w:val="20"/>
                <w:szCs w:val="20"/>
                <w:lang w:eastAsia="en-ZW"/>
              </w:rPr>
            </w:pPr>
            <w:r w:rsidRPr="00CE170E">
              <w:rPr>
                <w:rFonts w:ascii="Tahoma" w:eastAsia="Times New Roman" w:hAnsi="Tahoma" w:cs="Tahoma"/>
                <w:b/>
                <w:bCs/>
                <w:i/>
                <w:color w:val="000000"/>
                <w:sz w:val="20"/>
                <w:szCs w:val="20"/>
                <w:lang w:eastAsia="en-ZW"/>
              </w:rPr>
              <w:t>91.6</w:t>
            </w:r>
          </w:p>
        </w:tc>
        <w:tc>
          <w:tcPr>
            <w:tcW w:w="101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i/>
                <w:color w:val="000000"/>
                <w:sz w:val="20"/>
                <w:szCs w:val="20"/>
                <w:lang w:eastAsia="en-ZW"/>
              </w:rPr>
            </w:pPr>
            <w:r w:rsidRPr="00CE170E">
              <w:rPr>
                <w:rFonts w:ascii="Tahoma" w:eastAsia="Times New Roman" w:hAnsi="Tahoma" w:cs="Tahoma"/>
                <w:b/>
                <w:bCs/>
                <w:i/>
                <w:color w:val="000000"/>
                <w:sz w:val="20"/>
                <w:szCs w:val="20"/>
                <w:lang w:eastAsia="en-ZW"/>
              </w:rPr>
              <w:t>92.8</w:t>
            </w:r>
          </w:p>
        </w:tc>
        <w:tc>
          <w:tcPr>
            <w:tcW w:w="119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i/>
                <w:color w:val="000000"/>
                <w:sz w:val="20"/>
                <w:szCs w:val="20"/>
                <w:lang w:eastAsia="en-ZW"/>
              </w:rPr>
            </w:pPr>
            <w:r w:rsidRPr="00CE170E">
              <w:rPr>
                <w:rFonts w:ascii="Tahoma" w:eastAsia="Times New Roman" w:hAnsi="Tahoma" w:cs="Tahoma"/>
                <w:b/>
                <w:bCs/>
                <w:i/>
                <w:color w:val="000000"/>
                <w:sz w:val="20"/>
                <w:szCs w:val="20"/>
                <w:lang w:eastAsia="en-ZW"/>
              </w:rPr>
              <w:t>92.9</w:t>
            </w:r>
          </w:p>
        </w:tc>
        <w:tc>
          <w:tcPr>
            <w:tcW w:w="1016" w:type="dxa"/>
            <w:noWrap/>
            <w:hideMark/>
          </w:tcPr>
          <w:p w:rsidR="005645A8" w:rsidRPr="00CE170E" w:rsidRDefault="005645A8" w:rsidP="00927493">
            <w:pPr>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i/>
                <w:color w:val="000000"/>
                <w:sz w:val="20"/>
                <w:szCs w:val="20"/>
                <w:lang w:eastAsia="en-ZW"/>
              </w:rPr>
            </w:pPr>
            <w:r w:rsidRPr="00CE170E">
              <w:rPr>
                <w:rFonts w:ascii="Tahoma" w:eastAsia="Times New Roman" w:hAnsi="Tahoma" w:cs="Tahoma"/>
                <w:b/>
                <w:bCs/>
                <w:i/>
                <w:color w:val="000000"/>
                <w:sz w:val="20"/>
                <w:szCs w:val="20"/>
                <w:lang w:eastAsia="en-ZW"/>
              </w:rPr>
              <w:t>101.4</w:t>
            </w:r>
          </w:p>
        </w:tc>
      </w:tr>
    </w:tbl>
    <w:p w:rsidR="008E6C48" w:rsidRPr="00CE170E" w:rsidRDefault="008E6C48" w:rsidP="005645A8">
      <w:pPr>
        <w:spacing w:line="360" w:lineRule="auto"/>
        <w:rPr>
          <w:rFonts w:ascii="Tahoma" w:eastAsia="Calibri" w:hAnsi="Tahoma" w:cs="Tahoma"/>
          <w:noProof/>
          <w:sz w:val="24"/>
          <w:szCs w:val="24"/>
          <w:lang w:val="en-ZW"/>
        </w:rPr>
      </w:pPr>
    </w:p>
    <w:p w:rsidR="008E6C48" w:rsidRPr="00CE170E" w:rsidRDefault="00CE170E" w:rsidP="00CE170E">
      <w:pPr>
        <w:pStyle w:val="ListParagraph"/>
        <w:numPr>
          <w:ilvl w:val="0"/>
          <w:numId w:val="1"/>
        </w:numPr>
        <w:spacing w:after="160" w:line="360" w:lineRule="auto"/>
        <w:ind w:left="567" w:hanging="567"/>
        <w:jc w:val="both"/>
        <w:rPr>
          <w:rFonts w:ascii="Tahoma" w:hAnsi="Tahoma" w:cs="Tahoma"/>
          <w:noProof/>
          <w:sz w:val="24"/>
          <w:szCs w:val="24"/>
        </w:rPr>
      </w:pPr>
      <w:r>
        <w:rPr>
          <w:rFonts w:ascii="Tahoma" w:hAnsi="Tahoma" w:cs="Tahoma"/>
          <w:noProof/>
          <w:sz w:val="24"/>
          <w:szCs w:val="24"/>
        </w:rPr>
        <w:t>Output d</w:t>
      </w:r>
      <w:r w:rsidR="008E6C48" w:rsidRPr="00CE170E">
        <w:rPr>
          <w:rFonts w:ascii="Tahoma" w:hAnsi="Tahoma" w:cs="Tahoma"/>
          <w:noProof/>
          <w:sz w:val="24"/>
          <w:szCs w:val="24"/>
        </w:rPr>
        <w:t>rivers for this marginal growth include food staffs and non-metallic mineral products with the rest of</w:t>
      </w:r>
      <w:r w:rsidR="00443119">
        <w:rPr>
          <w:rFonts w:ascii="Tahoma" w:hAnsi="Tahoma" w:cs="Tahoma"/>
          <w:noProof/>
          <w:sz w:val="24"/>
          <w:szCs w:val="24"/>
        </w:rPr>
        <w:t xml:space="preserve"> the</w:t>
      </w:r>
      <w:r w:rsidR="008E6C48" w:rsidRPr="00CE170E">
        <w:rPr>
          <w:rFonts w:ascii="Tahoma" w:hAnsi="Tahoma" w:cs="Tahoma"/>
          <w:noProof/>
          <w:sz w:val="24"/>
          <w:szCs w:val="24"/>
        </w:rPr>
        <w:t xml:space="preserve"> other sub-sectors constrained</w:t>
      </w:r>
      <w:r>
        <w:rPr>
          <w:rFonts w:ascii="Tahoma" w:hAnsi="Tahoma" w:cs="Tahoma"/>
          <w:noProof/>
          <w:sz w:val="24"/>
          <w:szCs w:val="24"/>
        </w:rPr>
        <w:t>.</w:t>
      </w:r>
    </w:p>
    <w:p w:rsidR="008E6C48" w:rsidRPr="00CE170E" w:rsidRDefault="008E6C48" w:rsidP="008E6C48">
      <w:pPr>
        <w:pStyle w:val="ListParagraph"/>
        <w:spacing w:after="160" w:line="360" w:lineRule="auto"/>
        <w:rPr>
          <w:rFonts w:ascii="Tahoma" w:hAnsi="Tahoma" w:cs="Tahoma"/>
          <w:noProof/>
          <w:sz w:val="24"/>
          <w:szCs w:val="24"/>
        </w:rPr>
      </w:pPr>
    </w:p>
    <w:p w:rsidR="005645A8" w:rsidRPr="00CE170E" w:rsidRDefault="005645A8" w:rsidP="00CE170E">
      <w:pPr>
        <w:pStyle w:val="ListParagraph"/>
        <w:numPr>
          <w:ilvl w:val="0"/>
          <w:numId w:val="1"/>
        </w:numPr>
        <w:spacing w:after="160" w:line="360" w:lineRule="auto"/>
        <w:ind w:left="567" w:hanging="567"/>
        <w:jc w:val="both"/>
        <w:rPr>
          <w:rFonts w:ascii="Tahoma" w:hAnsi="Tahoma" w:cs="Tahoma"/>
          <w:noProof/>
          <w:sz w:val="24"/>
          <w:szCs w:val="24"/>
        </w:rPr>
      </w:pPr>
      <w:r w:rsidRPr="00CE170E">
        <w:rPr>
          <w:rFonts w:ascii="Tahoma" w:hAnsi="Tahoma" w:cs="Tahoma"/>
          <w:noProof/>
          <w:sz w:val="24"/>
          <w:szCs w:val="24"/>
        </w:rPr>
        <w:lastRenderedPageBreak/>
        <w:t>In the outlook, the performance of the sector is expected to benefit from improved investment following the latest round of Ease of Doing Business Reforms and the enactment of the ZIDA Bill which is now before Parliament.</w:t>
      </w:r>
    </w:p>
    <w:p w:rsidR="005645A8" w:rsidRPr="00CE170E" w:rsidRDefault="005645A8" w:rsidP="005645A8">
      <w:pPr>
        <w:pStyle w:val="ListParagraph"/>
        <w:spacing w:line="360" w:lineRule="auto"/>
        <w:rPr>
          <w:rFonts w:ascii="Tahoma" w:hAnsi="Tahoma" w:cs="Tahoma"/>
          <w:noProof/>
          <w:sz w:val="24"/>
          <w:szCs w:val="24"/>
        </w:rPr>
      </w:pPr>
    </w:p>
    <w:p w:rsidR="005645A8" w:rsidRDefault="005645A8" w:rsidP="00CE170E">
      <w:pPr>
        <w:pStyle w:val="ListParagraph"/>
        <w:numPr>
          <w:ilvl w:val="0"/>
          <w:numId w:val="1"/>
        </w:numPr>
        <w:spacing w:after="160" w:line="360" w:lineRule="auto"/>
        <w:ind w:left="567" w:hanging="567"/>
        <w:jc w:val="both"/>
        <w:rPr>
          <w:rFonts w:ascii="Tahoma" w:hAnsi="Tahoma" w:cs="Tahoma"/>
          <w:noProof/>
          <w:sz w:val="24"/>
          <w:szCs w:val="24"/>
        </w:rPr>
      </w:pPr>
      <w:r w:rsidRPr="00CE170E">
        <w:rPr>
          <w:rFonts w:ascii="Tahoma" w:hAnsi="Tahoma" w:cs="Tahoma"/>
          <w:noProof/>
          <w:sz w:val="24"/>
          <w:szCs w:val="24"/>
        </w:rPr>
        <w:t xml:space="preserve">In addition, </w:t>
      </w:r>
      <w:r w:rsidR="00CE170E" w:rsidRPr="00CE170E">
        <w:rPr>
          <w:rFonts w:ascii="Tahoma" w:hAnsi="Tahoma" w:cs="Tahoma"/>
          <w:noProof/>
          <w:sz w:val="24"/>
          <w:szCs w:val="24"/>
        </w:rPr>
        <w:t xml:space="preserve">the </w:t>
      </w:r>
      <w:r w:rsidRPr="00CE170E">
        <w:rPr>
          <w:rFonts w:ascii="Tahoma" w:hAnsi="Tahoma" w:cs="Tahoma"/>
          <w:noProof/>
          <w:sz w:val="24"/>
          <w:szCs w:val="24"/>
        </w:rPr>
        <w:t xml:space="preserve">Local Content Policy </w:t>
      </w:r>
      <w:r w:rsidR="00CE170E" w:rsidRPr="00CE170E">
        <w:rPr>
          <w:rFonts w:ascii="Tahoma" w:hAnsi="Tahoma" w:cs="Tahoma"/>
          <w:noProof/>
          <w:sz w:val="24"/>
          <w:szCs w:val="24"/>
        </w:rPr>
        <w:t xml:space="preserve">being finalised will support domestic firms </w:t>
      </w:r>
      <w:r w:rsidRPr="00CE170E">
        <w:rPr>
          <w:rFonts w:ascii="Tahoma" w:hAnsi="Tahoma" w:cs="Tahoma"/>
          <w:noProof/>
          <w:sz w:val="24"/>
          <w:szCs w:val="24"/>
        </w:rPr>
        <w:t>increase production through utilisation of local factors of production.</w:t>
      </w:r>
    </w:p>
    <w:p w:rsidR="00443119" w:rsidRPr="00443119" w:rsidRDefault="00443119" w:rsidP="00443119">
      <w:pPr>
        <w:pStyle w:val="ListParagraph"/>
        <w:rPr>
          <w:rFonts w:ascii="Tahoma" w:hAnsi="Tahoma" w:cs="Tahoma"/>
          <w:noProof/>
          <w:sz w:val="24"/>
          <w:szCs w:val="24"/>
        </w:rPr>
      </w:pPr>
    </w:p>
    <w:p w:rsidR="005645A8" w:rsidRPr="00A266D2" w:rsidRDefault="00443119" w:rsidP="00A266D2">
      <w:pPr>
        <w:pStyle w:val="ListParagraph"/>
        <w:numPr>
          <w:ilvl w:val="0"/>
          <w:numId w:val="1"/>
        </w:numPr>
        <w:spacing w:after="160" w:line="360" w:lineRule="auto"/>
        <w:ind w:left="567" w:hanging="567"/>
        <w:jc w:val="both"/>
        <w:rPr>
          <w:rFonts w:cs="Tahoma"/>
          <w:sz w:val="24"/>
          <w:szCs w:val="24"/>
        </w:rPr>
      </w:pPr>
      <w:r w:rsidRPr="00A266D2">
        <w:rPr>
          <w:rFonts w:ascii="Tahoma" w:hAnsi="Tahoma" w:cs="Tahoma"/>
          <w:noProof/>
          <w:sz w:val="24"/>
          <w:szCs w:val="24"/>
        </w:rPr>
        <w:t>It remains critical that as Government we explore private sector financing facilities required for su</w:t>
      </w:r>
      <w:r w:rsidR="00A266D2" w:rsidRPr="00A266D2">
        <w:rPr>
          <w:rFonts w:ascii="Tahoma" w:hAnsi="Tahoma" w:cs="Tahoma"/>
          <w:noProof/>
          <w:sz w:val="24"/>
          <w:szCs w:val="24"/>
        </w:rPr>
        <w:t>pporting</w:t>
      </w:r>
      <w:r w:rsidRPr="00A266D2">
        <w:rPr>
          <w:rFonts w:ascii="Tahoma" w:hAnsi="Tahoma" w:cs="Tahoma"/>
          <w:noProof/>
          <w:sz w:val="24"/>
          <w:szCs w:val="24"/>
        </w:rPr>
        <w:t xml:space="preserve"> industry recovery, production as well as exporting. </w:t>
      </w:r>
    </w:p>
    <w:p w:rsidR="0082751B" w:rsidRDefault="0082751B" w:rsidP="00AA3348">
      <w:pPr>
        <w:pStyle w:val="Heading2"/>
        <w:ind w:firstLine="567"/>
        <w:rPr>
          <w:rFonts w:cs="Tahoma"/>
          <w:sz w:val="24"/>
          <w:szCs w:val="24"/>
        </w:rPr>
      </w:pPr>
    </w:p>
    <w:p w:rsidR="0082751B" w:rsidRPr="0082751B" w:rsidRDefault="0082751B" w:rsidP="0082751B">
      <w:pPr>
        <w:pStyle w:val="Heading2"/>
        <w:ind w:firstLine="567"/>
        <w:rPr>
          <w:rFonts w:cs="Tahoma"/>
          <w:sz w:val="24"/>
          <w:szCs w:val="24"/>
        </w:rPr>
      </w:pPr>
      <w:r w:rsidRPr="0082751B">
        <w:rPr>
          <w:rFonts w:cs="Tahoma"/>
          <w:sz w:val="24"/>
          <w:szCs w:val="24"/>
        </w:rPr>
        <w:t>Energy</w:t>
      </w:r>
    </w:p>
    <w:p w:rsidR="0082751B" w:rsidRPr="0082751B" w:rsidRDefault="0082751B" w:rsidP="0082751B">
      <w:pPr>
        <w:rPr>
          <w:lang w:val="x-none" w:eastAsia="x-none"/>
        </w:rPr>
      </w:pPr>
    </w:p>
    <w:p w:rsidR="00695727" w:rsidRPr="0082751B" w:rsidRDefault="00695727" w:rsidP="00AA3348">
      <w:pPr>
        <w:pStyle w:val="Heading2"/>
        <w:ind w:firstLine="567"/>
        <w:rPr>
          <w:rFonts w:cs="Tahoma"/>
          <w:b w:val="0"/>
          <w:i/>
          <w:sz w:val="24"/>
          <w:szCs w:val="24"/>
          <w:lang w:val="en-ZW"/>
        </w:rPr>
      </w:pPr>
      <w:r w:rsidRPr="0082751B">
        <w:rPr>
          <w:rFonts w:cs="Tahoma"/>
          <w:b w:val="0"/>
          <w:i/>
          <w:sz w:val="24"/>
          <w:szCs w:val="24"/>
        </w:rPr>
        <w:t xml:space="preserve">Electricity </w:t>
      </w:r>
      <w:bookmarkEnd w:id="7"/>
    </w:p>
    <w:p w:rsidR="00695727" w:rsidRPr="00305805" w:rsidRDefault="00695727" w:rsidP="00695727">
      <w:pPr>
        <w:spacing w:after="0" w:line="360" w:lineRule="auto"/>
        <w:ind w:left="720"/>
        <w:contextualSpacing/>
        <w:jc w:val="both"/>
        <w:rPr>
          <w:rFonts w:ascii="Tahoma" w:hAnsi="Tahoma" w:cs="Tahoma"/>
          <w:sz w:val="24"/>
          <w:szCs w:val="24"/>
        </w:rPr>
      </w:pPr>
    </w:p>
    <w:p w:rsidR="00926A61" w:rsidRDefault="00AA3348" w:rsidP="00695727">
      <w:pPr>
        <w:pStyle w:val="ListParagraph"/>
        <w:numPr>
          <w:ilvl w:val="0"/>
          <w:numId w:val="1"/>
        </w:numPr>
        <w:spacing w:after="160" w:line="360" w:lineRule="auto"/>
        <w:ind w:left="567" w:hanging="567"/>
        <w:jc w:val="both"/>
        <w:rPr>
          <w:rFonts w:ascii="Tahoma" w:hAnsi="Tahoma" w:cs="Tahoma"/>
          <w:noProof/>
          <w:sz w:val="24"/>
          <w:szCs w:val="24"/>
        </w:rPr>
      </w:pPr>
      <w:r>
        <w:rPr>
          <w:rFonts w:ascii="Tahoma" w:hAnsi="Tahoma" w:cs="Tahoma"/>
          <w:noProof/>
          <w:sz w:val="24"/>
          <w:szCs w:val="24"/>
        </w:rPr>
        <w:t>E</w:t>
      </w:r>
      <w:r w:rsidR="00695727" w:rsidRPr="00CD2B56">
        <w:rPr>
          <w:rFonts w:ascii="Tahoma" w:hAnsi="Tahoma" w:cs="Tahoma"/>
          <w:noProof/>
          <w:sz w:val="24"/>
          <w:szCs w:val="24"/>
        </w:rPr>
        <w:t xml:space="preserve">lectricity generation during the </w:t>
      </w:r>
      <w:r>
        <w:rPr>
          <w:rFonts w:ascii="Tahoma" w:hAnsi="Tahoma" w:cs="Tahoma"/>
          <w:noProof/>
          <w:sz w:val="24"/>
          <w:szCs w:val="24"/>
        </w:rPr>
        <w:t xml:space="preserve">first </w:t>
      </w:r>
      <w:r w:rsidR="00695727" w:rsidRPr="00CD2B56">
        <w:rPr>
          <w:rFonts w:ascii="Tahoma" w:hAnsi="Tahoma" w:cs="Tahoma"/>
          <w:noProof/>
          <w:sz w:val="24"/>
          <w:szCs w:val="24"/>
        </w:rPr>
        <w:t>quar</w:t>
      </w:r>
      <w:r w:rsidR="00CE170E">
        <w:rPr>
          <w:rFonts w:ascii="Tahoma" w:hAnsi="Tahoma" w:cs="Tahoma"/>
          <w:noProof/>
          <w:sz w:val="24"/>
          <w:szCs w:val="24"/>
        </w:rPr>
        <w:t xml:space="preserve">ter </w:t>
      </w:r>
      <w:r>
        <w:rPr>
          <w:rFonts w:ascii="Tahoma" w:hAnsi="Tahoma" w:cs="Tahoma"/>
          <w:noProof/>
          <w:sz w:val="24"/>
          <w:szCs w:val="24"/>
        </w:rPr>
        <w:t xml:space="preserve">of 2019, although higher than target,  </w:t>
      </w:r>
      <w:r w:rsidR="00CE170E">
        <w:rPr>
          <w:rFonts w:ascii="Tahoma" w:hAnsi="Tahoma" w:cs="Tahoma"/>
          <w:noProof/>
          <w:sz w:val="24"/>
          <w:szCs w:val="24"/>
        </w:rPr>
        <w:t xml:space="preserve">was relatively </w:t>
      </w:r>
      <w:r>
        <w:rPr>
          <w:rFonts w:ascii="Tahoma" w:hAnsi="Tahoma" w:cs="Tahoma"/>
          <w:noProof/>
          <w:sz w:val="24"/>
          <w:szCs w:val="24"/>
        </w:rPr>
        <w:t xml:space="preserve">lower </w:t>
      </w:r>
      <w:r w:rsidR="00CE170E">
        <w:rPr>
          <w:rFonts w:ascii="Tahoma" w:hAnsi="Tahoma" w:cs="Tahoma"/>
          <w:noProof/>
          <w:sz w:val="24"/>
          <w:szCs w:val="24"/>
        </w:rPr>
        <w:t>com</w:t>
      </w:r>
      <w:r w:rsidR="00695727" w:rsidRPr="00CD2B56">
        <w:rPr>
          <w:rFonts w:ascii="Tahoma" w:hAnsi="Tahoma" w:cs="Tahoma"/>
          <w:noProof/>
          <w:sz w:val="24"/>
          <w:szCs w:val="24"/>
        </w:rPr>
        <w:t>p</w:t>
      </w:r>
      <w:r w:rsidR="00CE170E">
        <w:rPr>
          <w:rFonts w:ascii="Tahoma" w:hAnsi="Tahoma" w:cs="Tahoma"/>
          <w:noProof/>
          <w:sz w:val="24"/>
          <w:szCs w:val="24"/>
        </w:rPr>
        <w:t xml:space="preserve">ared to the </w:t>
      </w:r>
      <w:r w:rsidR="00926A61">
        <w:rPr>
          <w:rFonts w:ascii="Tahoma" w:hAnsi="Tahoma" w:cs="Tahoma"/>
          <w:noProof/>
          <w:sz w:val="24"/>
          <w:szCs w:val="24"/>
        </w:rPr>
        <w:t xml:space="preserve">last quarter of </w:t>
      </w:r>
      <w:r w:rsidR="00CE170E">
        <w:rPr>
          <w:rFonts w:ascii="Tahoma" w:hAnsi="Tahoma" w:cs="Tahoma"/>
          <w:noProof/>
          <w:sz w:val="24"/>
          <w:szCs w:val="24"/>
        </w:rPr>
        <w:t>2018</w:t>
      </w:r>
      <w:r>
        <w:rPr>
          <w:rFonts w:ascii="Tahoma" w:hAnsi="Tahoma" w:cs="Tahoma"/>
          <w:noProof/>
          <w:sz w:val="24"/>
          <w:szCs w:val="24"/>
        </w:rPr>
        <w:t xml:space="preserve">. Reduced production </w:t>
      </w:r>
      <w:r w:rsidR="00926A61">
        <w:rPr>
          <w:rFonts w:ascii="Tahoma" w:hAnsi="Tahoma" w:cs="Tahoma"/>
          <w:noProof/>
          <w:sz w:val="24"/>
          <w:szCs w:val="24"/>
        </w:rPr>
        <w:t>trend i</w:t>
      </w:r>
      <w:r w:rsidR="00695727" w:rsidRPr="00CD2B56">
        <w:rPr>
          <w:rFonts w:ascii="Tahoma" w:hAnsi="Tahoma" w:cs="Tahoma"/>
          <w:noProof/>
          <w:sz w:val="24"/>
          <w:szCs w:val="24"/>
        </w:rPr>
        <w:t xml:space="preserve">s attributable to </w:t>
      </w:r>
      <w:r>
        <w:rPr>
          <w:rFonts w:ascii="Tahoma" w:hAnsi="Tahoma" w:cs="Tahoma"/>
          <w:noProof/>
          <w:sz w:val="24"/>
          <w:szCs w:val="24"/>
        </w:rPr>
        <w:t xml:space="preserve">lower </w:t>
      </w:r>
      <w:r w:rsidR="00695727" w:rsidRPr="00CD2B56">
        <w:rPr>
          <w:rFonts w:ascii="Tahoma" w:hAnsi="Tahoma" w:cs="Tahoma"/>
          <w:noProof/>
          <w:sz w:val="24"/>
          <w:szCs w:val="24"/>
        </w:rPr>
        <w:t>water allocatio</w:t>
      </w:r>
      <w:r>
        <w:rPr>
          <w:rFonts w:ascii="Tahoma" w:hAnsi="Tahoma" w:cs="Tahoma"/>
          <w:noProof/>
          <w:sz w:val="24"/>
          <w:szCs w:val="24"/>
        </w:rPr>
        <w:t>n at Kariba hydro power station</w:t>
      </w:r>
      <w:r w:rsidR="00926A61">
        <w:rPr>
          <w:rFonts w:ascii="Tahoma" w:hAnsi="Tahoma" w:cs="Tahoma"/>
          <w:noProof/>
          <w:sz w:val="24"/>
          <w:szCs w:val="24"/>
        </w:rPr>
        <w:t xml:space="preserve"> following erratic rainfall over the Zambezi Catchment Area</w:t>
      </w:r>
      <w:r>
        <w:rPr>
          <w:rFonts w:ascii="Tahoma" w:hAnsi="Tahoma" w:cs="Tahoma"/>
          <w:noProof/>
          <w:sz w:val="24"/>
          <w:szCs w:val="24"/>
        </w:rPr>
        <w:t>.</w:t>
      </w:r>
      <w:r w:rsidR="00E14B3E">
        <w:rPr>
          <w:rFonts w:ascii="Tahoma" w:hAnsi="Tahoma" w:cs="Tahoma"/>
          <w:noProof/>
          <w:sz w:val="24"/>
          <w:szCs w:val="24"/>
        </w:rPr>
        <w:t xml:space="preserve"> </w:t>
      </w:r>
      <w:r w:rsidR="00926A61" w:rsidRPr="00926A61">
        <w:rPr>
          <w:rFonts w:ascii="Tahoma" w:hAnsi="Tahoma" w:cs="Tahoma"/>
          <w:noProof/>
          <w:sz w:val="24"/>
          <w:szCs w:val="24"/>
        </w:rPr>
        <w:t>In addition</w:t>
      </w:r>
      <w:r w:rsidR="00926A61">
        <w:rPr>
          <w:rFonts w:ascii="Tahoma" w:hAnsi="Tahoma" w:cs="Tahoma"/>
          <w:noProof/>
          <w:sz w:val="24"/>
          <w:szCs w:val="24"/>
        </w:rPr>
        <w:t>,</w:t>
      </w:r>
      <w:r w:rsidR="00926A61" w:rsidRPr="00926A61">
        <w:rPr>
          <w:rFonts w:ascii="Tahoma" w:hAnsi="Tahoma" w:cs="Tahoma"/>
          <w:noProof/>
          <w:sz w:val="24"/>
          <w:szCs w:val="24"/>
        </w:rPr>
        <w:t xml:space="preserve"> generation instability at thermal power stations has been worsened by inconsistent coal supply.</w:t>
      </w:r>
    </w:p>
    <w:p w:rsidR="00926A61" w:rsidRPr="00926A61" w:rsidRDefault="00926A61" w:rsidP="00926A61">
      <w:pPr>
        <w:pStyle w:val="ListParagraph"/>
        <w:rPr>
          <w:rFonts w:ascii="Tahoma" w:hAnsi="Tahoma" w:cs="Tahoma"/>
          <w:noProof/>
          <w:sz w:val="24"/>
          <w:szCs w:val="24"/>
        </w:rPr>
      </w:pPr>
    </w:p>
    <w:p w:rsidR="00695727" w:rsidRPr="00CD2B56" w:rsidRDefault="00E14B3E" w:rsidP="00695727">
      <w:pPr>
        <w:pStyle w:val="ListParagraph"/>
        <w:numPr>
          <w:ilvl w:val="0"/>
          <w:numId w:val="1"/>
        </w:numPr>
        <w:spacing w:after="160" w:line="360" w:lineRule="auto"/>
        <w:ind w:left="567" w:hanging="567"/>
        <w:jc w:val="both"/>
        <w:rPr>
          <w:rFonts w:ascii="Tahoma" w:hAnsi="Tahoma" w:cs="Tahoma"/>
          <w:noProof/>
          <w:sz w:val="24"/>
          <w:szCs w:val="24"/>
        </w:rPr>
      </w:pPr>
      <w:r>
        <w:rPr>
          <w:rFonts w:ascii="Tahoma" w:hAnsi="Tahoma" w:cs="Tahoma"/>
          <w:noProof/>
          <w:sz w:val="24"/>
          <w:szCs w:val="24"/>
        </w:rPr>
        <w:t>H</w:t>
      </w:r>
      <w:r w:rsidR="00AA3348">
        <w:rPr>
          <w:rFonts w:ascii="Tahoma" w:hAnsi="Tahoma" w:cs="Tahoma"/>
          <w:noProof/>
          <w:sz w:val="24"/>
          <w:szCs w:val="24"/>
        </w:rPr>
        <w:t xml:space="preserve">igher demand particularly during </w:t>
      </w:r>
      <w:r>
        <w:rPr>
          <w:rFonts w:ascii="Tahoma" w:hAnsi="Tahoma" w:cs="Tahoma"/>
          <w:noProof/>
          <w:sz w:val="24"/>
          <w:szCs w:val="24"/>
        </w:rPr>
        <w:t xml:space="preserve">the just started </w:t>
      </w:r>
      <w:r w:rsidR="00AA3348">
        <w:rPr>
          <w:rFonts w:ascii="Tahoma" w:hAnsi="Tahoma" w:cs="Tahoma"/>
          <w:noProof/>
          <w:sz w:val="24"/>
          <w:szCs w:val="24"/>
        </w:rPr>
        <w:t>winter</w:t>
      </w:r>
      <w:r>
        <w:rPr>
          <w:rFonts w:ascii="Tahoma" w:hAnsi="Tahoma" w:cs="Tahoma"/>
          <w:noProof/>
          <w:sz w:val="24"/>
          <w:szCs w:val="24"/>
        </w:rPr>
        <w:t xml:space="preserve"> season</w:t>
      </w:r>
      <w:r w:rsidR="00AA3348">
        <w:rPr>
          <w:rFonts w:ascii="Tahoma" w:hAnsi="Tahoma" w:cs="Tahoma"/>
          <w:noProof/>
          <w:sz w:val="24"/>
          <w:szCs w:val="24"/>
        </w:rPr>
        <w:t xml:space="preserve"> against reduced supply has given rise to load shedding.</w:t>
      </w:r>
      <w:r w:rsidR="00695727" w:rsidRPr="00CD2B56">
        <w:rPr>
          <w:rFonts w:ascii="Tahoma" w:hAnsi="Tahoma" w:cs="Tahoma"/>
          <w:noProof/>
          <w:sz w:val="24"/>
          <w:szCs w:val="24"/>
        </w:rPr>
        <w:t xml:space="preserve"> </w:t>
      </w:r>
    </w:p>
    <w:p w:rsidR="00695727" w:rsidRPr="00CD2B56" w:rsidRDefault="00695727" w:rsidP="00695727">
      <w:pPr>
        <w:pStyle w:val="ListParagraph"/>
        <w:spacing w:after="0" w:line="360" w:lineRule="auto"/>
        <w:jc w:val="both"/>
        <w:rPr>
          <w:rFonts w:ascii="Tahoma" w:hAnsi="Tahoma" w:cs="Tahoma"/>
          <w:noProof/>
          <w:sz w:val="24"/>
          <w:szCs w:val="24"/>
        </w:rPr>
      </w:pPr>
    </w:p>
    <w:p w:rsidR="00695727" w:rsidRPr="00CE170E" w:rsidRDefault="00F321B7" w:rsidP="00695727">
      <w:pPr>
        <w:pStyle w:val="ListParagraph"/>
        <w:spacing w:after="0" w:line="360" w:lineRule="auto"/>
        <w:jc w:val="both"/>
        <w:rPr>
          <w:rFonts w:ascii="Tahoma" w:hAnsi="Tahoma" w:cs="Tahoma"/>
          <w:b/>
          <w:noProof/>
          <w:sz w:val="24"/>
          <w:szCs w:val="24"/>
        </w:rPr>
      </w:pPr>
      <w:r>
        <w:rPr>
          <w:rFonts w:ascii="Tahoma" w:hAnsi="Tahoma" w:cs="Tahoma"/>
          <w:b/>
          <w:noProof/>
          <w:sz w:val="24"/>
          <w:szCs w:val="24"/>
        </w:rPr>
        <w:t>Quartely El</w:t>
      </w:r>
      <w:r w:rsidR="00695727" w:rsidRPr="00CE170E">
        <w:rPr>
          <w:rFonts w:ascii="Tahoma" w:hAnsi="Tahoma" w:cs="Tahoma"/>
          <w:b/>
          <w:noProof/>
          <w:sz w:val="24"/>
          <w:szCs w:val="24"/>
        </w:rPr>
        <w:t xml:space="preserve">ectricity Generated and Sent Out </w:t>
      </w:r>
    </w:p>
    <w:p w:rsidR="00695727" w:rsidRPr="00CD2B56" w:rsidRDefault="00695727" w:rsidP="00695727">
      <w:pPr>
        <w:spacing w:after="0" w:line="360" w:lineRule="auto"/>
        <w:ind w:firstLine="720"/>
        <w:jc w:val="both"/>
        <w:rPr>
          <w:rFonts w:ascii="Tahoma" w:hAnsi="Tahoma" w:cs="Tahoma"/>
          <w:noProof/>
          <w:sz w:val="24"/>
          <w:szCs w:val="24"/>
        </w:rPr>
      </w:pPr>
      <w:r w:rsidRPr="00CD2B56">
        <w:rPr>
          <w:rFonts w:ascii="Tahoma" w:hAnsi="Tahoma" w:cs="Tahoma"/>
          <w:noProof/>
          <w:sz w:val="24"/>
          <w:szCs w:val="24"/>
          <w:lang w:val="en-ZW" w:eastAsia="en-ZW"/>
        </w:rPr>
        <w:lastRenderedPageBreak/>
        <w:drawing>
          <wp:inline distT="0" distB="0" distL="0" distR="0" wp14:anchorId="66C9CD9D" wp14:editId="66E1E33D">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A3348" w:rsidRDefault="00AA3348" w:rsidP="00AA3348">
      <w:pPr>
        <w:pStyle w:val="ListParagraph"/>
        <w:spacing w:after="160" w:line="360" w:lineRule="auto"/>
        <w:ind w:left="567"/>
        <w:jc w:val="both"/>
        <w:rPr>
          <w:rFonts w:ascii="Tahoma" w:hAnsi="Tahoma" w:cs="Tahoma"/>
          <w:noProof/>
          <w:sz w:val="24"/>
          <w:szCs w:val="24"/>
        </w:rPr>
      </w:pPr>
    </w:p>
    <w:p w:rsidR="00D10830" w:rsidRDefault="00AA3348" w:rsidP="001F7F44">
      <w:pPr>
        <w:pStyle w:val="ListParagraph"/>
        <w:numPr>
          <w:ilvl w:val="0"/>
          <w:numId w:val="1"/>
        </w:numPr>
        <w:spacing w:after="160" w:line="360" w:lineRule="auto"/>
        <w:ind w:left="567" w:hanging="567"/>
        <w:jc w:val="both"/>
        <w:rPr>
          <w:rFonts w:ascii="Tahoma" w:hAnsi="Tahoma" w:cs="Tahoma"/>
          <w:noProof/>
          <w:sz w:val="24"/>
          <w:szCs w:val="24"/>
        </w:rPr>
      </w:pPr>
      <w:r w:rsidRPr="00CD2B56">
        <w:rPr>
          <w:rFonts w:ascii="Tahoma" w:hAnsi="Tahoma" w:cs="Tahoma"/>
          <w:noProof/>
          <w:sz w:val="24"/>
          <w:szCs w:val="24"/>
        </w:rPr>
        <w:t xml:space="preserve">In the outlook, electricity generation is expected to </w:t>
      </w:r>
      <w:r>
        <w:rPr>
          <w:rFonts w:ascii="Tahoma" w:hAnsi="Tahoma" w:cs="Tahoma"/>
          <w:noProof/>
          <w:sz w:val="24"/>
          <w:szCs w:val="24"/>
        </w:rPr>
        <w:t xml:space="preserve">remain </w:t>
      </w:r>
      <w:r w:rsidRPr="00CD2B56">
        <w:rPr>
          <w:rFonts w:ascii="Tahoma" w:hAnsi="Tahoma" w:cs="Tahoma"/>
          <w:noProof/>
          <w:sz w:val="24"/>
          <w:szCs w:val="24"/>
        </w:rPr>
        <w:t>constrained</w:t>
      </w:r>
      <w:r>
        <w:rPr>
          <w:rFonts w:ascii="Tahoma" w:hAnsi="Tahoma" w:cs="Tahoma"/>
          <w:noProof/>
          <w:sz w:val="24"/>
          <w:szCs w:val="24"/>
        </w:rPr>
        <w:t xml:space="preserve"> during </w:t>
      </w:r>
      <w:r w:rsidR="00E14B3E">
        <w:rPr>
          <w:rFonts w:ascii="Tahoma" w:hAnsi="Tahoma" w:cs="Tahoma"/>
          <w:noProof/>
          <w:sz w:val="24"/>
          <w:szCs w:val="24"/>
        </w:rPr>
        <w:t xml:space="preserve">the </w:t>
      </w:r>
      <w:r>
        <w:rPr>
          <w:rFonts w:ascii="Tahoma" w:hAnsi="Tahoma" w:cs="Tahoma"/>
          <w:noProof/>
          <w:sz w:val="24"/>
          <w:szCs w:val="24"/>
        </w:rPr>
        <w:t xml:space="preserve">larger part of the yaer before the rain season. </w:t>
      </w:r>
    </w:p>
    <w:p w:rsidR="00D10830" w:rsidRDefault="00D10830" w:rsidP="00D10830">
      <w:pPr>
        <w:pStyle w:val="ListParagraph"/>
        <w:spacing w:after="160" w:line="360" w:lineRule="auto"/>
        <w:ind w:left="567"/>
        <w:jc w:val="both"/>
        <w:rPr>
          <w:rFonts w:ascii="Tahoma" w:hAnsi="Tahoma" w:cs="Tahoma"/>
          <w:noProof/>
          <w:sz w:val="24"/>
          <w:szCs w:val="24"/>
        </w:rPr>
      </w:pPr>
    </w:p>
    <w:p w:rsidR="001F7F44" w:rsidRPr="00926A61" w:rsidRDefault="001F7F44" w:rsidP="001F7F44">
      <w:pPr>
        <w:pStyle w:val="ListParagraph"/>
        <w:numPr>
          <w:ilvl w:val="0"/>
          <w:numId w:val="1"/>
        </w:numPr>
        <w:spacing w:after="160" w:line="360" w:lineRule="auto"/>
        <w:ind w:left="567" w:hanging="567"/>
        <w:jc w:val="both"/>
        <w:rPr>
          <w:rFonts w:ascii="Tahoma" w:hAnsi="Tahoma" w:cs="Tahoma"/>
          <w:noProof/>
          <w:sz w:val="24"/>
          <w:szCs w:val="24"/>
        </w:rPr>
      </w:pPr>
      <w:r>
        <w:rPr>
          <w:rFonts w:ascii="Tahoma" w:hAnsi="Tahoma" w:cs="Tahoma"/>
          <w:noProof/>
          <w:sz w:val="24"/>
          <w:szCs w:val="24"/>
        </w:rPr>
        <w:t xml:space="preserve">Given the situation, </w:t>
      </w:r>
      <w:r w:rsidRPr="00926A61">
        <w:rPr>
          <w:rFonts w:ascii="Tahoma" w:hAnsi="Tahoma" w:cs="Tahoma"/>
          <w:noProof/>
          <w:sz w:val="24"/>
          <w:szCs w:val="24"/>
        </w:rPr>
        <w:t>Government is, is working on increasing imports f</w:t>
      </w:r>
      <w:r>
        <w:rPr>
          <w:rFonts w:ascii="Tahoma" w:hAnsi="Tahoma" w:cs="Tahoma"/>
          <w:noProof/>
          <w:sz w:val="24"/>
          <w:szCs w:val="24"/>
        </w:rPr>
        <w:t>ro</w:t>
      </w:r>
      <w:r w:rsidRPr="00926A61">
        <w:rPr>
          <w:rFonts w:ascii="Tahoma" w:hAnsi="Tahoma" w:cs="Tahoma"/>
          <w:noProof/>
          <w:sz w:val="24"/>
          <w:szCs w:val="24"/>
        </w:rPr>
        <w:t>m the regio</w:t>
      </w:r>
      <w:r>
        <w:rPr>
          <w:rFonts w:ascii="Tahoma" w:hAnsi="Tahoma" w:cs="Tahoma"/>
          <w:noProof/>
          <w:sz w:val="24"/>
          <w:szCs w:val="24"/>
        </w:rPr>
        <w:t>n, among other interventions.</w:t>
      </w:r>
    </w:p>
    <w:p w:rsidR="00695727" w:rsidRDefault="00695727" w:rsidP="00A740F4">
      <w:pPr>
        <w:pStyle w:val="ListParagraph"/>
        <w:spacing w:after="160" w:line="360" w:lineRule="auto"/>
        <w:ind w:left="567"/>
        <w:jc w:val="both"/>
        <w:rPr>
          <w:rFonts w:ascii="Tahoma" w:hAnsi="Tahoma" w:cs="Tahoma"/>
          <w:sz w:val="26"/>
          <w:szCs w:val="26"/>
        </w:rPr>
      </w:pPr>
    </w:p>
    <w:p w:rsidR="0082751B" w:rsidRPr="0082751B" w:rsidRDefault="0082751B" w:rsidP="0082751B">
      <w:pPr>
        <w:pStyle w:val="Heading2"/>
        <w:ind w:firstLine="567"/>
        <w:rPr>
          <w:rFonts w:cs="Tahoma"/>
          <w:b w:val="0"/>
          <w:i/>
          <w:sz w:val="24"/>
          <w:szCs w:val="24"/>
        </w:rPr>
      </w:pPr>
      <w:r w:rsidRPr="0082751B">
        <w:rPr>
          <w:rFonts w:cs="Tahoma"/>
          <w:b w:val="0"/>
          <w:i/>
          <w:sz w:val="24"/>
          <w:szCs w:val="24"/>
        </w:rPr>
        <w:t xml:space="preserve">Fuel </w:t>
      </w:r>
    </w:p>
    <w:p w:rsidR="0082751B" w:rsidRDefault="0082751B" w:rsidP="0082751B">
      <w:pPr>
        <w:spacing w:after="0" w:line="360" w:lineRule="auto"/>
        <w:rPr>
          <w:rFonts w:ascii="Tahoma" w:hAnsi="Tahoma" w:cs="Tahoma"/>
          <w:sz w:val="24"/>
          <w:szCs w:val="24"/>
        </w:rPr>
      </w:pPr>
    </w:p>
    <w:p w:rsidR="0082751B" w:rsidRPr="008D24D6" w:rsidRDefault="0082751B" w:rsidP="0082751B">
      <w:pPr>
        <w:pStyle w:val="ListParagraph"/>
        <w:numPr>
          <w:ilvl w:val="0"/>
          <w:numId w:val="1"/>
        </w:numPr>
        <w:spacing w:after="160" w:line="360" w:lineRule="auto"/>
        <w:ind w:left="567" w:hanging="567"/>
        <w:jc w:val="both"/>
        <w:rPr>
          <w:rFonts w:ascii="Tahoma" w:hAnsi="Tahoma" w:cs="Tahoma"/>
          <w:bCs/>
          <w:color w:val="000000"/>
          <w:sz w:val="24"/>
          <w:szCs w:val="24"/>
        </w:rPr>
      </w:pPr>
      <w:r w:rsidRPr="008D24D6">
        <w:rPr>
          <w:rFonts w:ascii="Tahoma" w:hAnsi="Tahoma" w:cs="Tahoma"/>
          <w:bCs/>
          <w:color w:val="000000"/>
          <w:sz w:val="24"/>
          <w:szCs w:val="24"/>
        </w:rPr>
        <w:t xml:space="preserve">The country is facing erratic fuel supplies which negatively impact on industry operations as well as transportation. Key factors that explain this challenge include growth demand owing to increases in number of automobiles, economic activities of economic players and limited financial capacity to import. </w:t>
      </w:r>
    </w:p>
    <w:p w:rsidR="0082751B" w:rsidRPr="008D24D6" w:rsidRDefault="0082751B" w:rsidP="0082751B">
      <w:pPr>
        <w:pStyle w:val="ListParagraph"/>
        <w:spacing w:after="160" w:line="360" w:lineRule="auto"/>
        <w:ind w:left="567"/>
        <w:jc w:val="both"/>
        <w:rPr>
          <w:rFonts w:ascii="Tahoma" w:hAnsi="Tahoma" w:cs="Tahoma"/>
          <w:bCs/>
          <w:color w:val="000000"/>
          <w:sz w:val="24"/>
          <w:szCs w:val="24"/>
        </w:rPr>
      </w:pPr>
    </w:p>
    <w:p w:rsidR="0082751B" w:rsidRPr="008D24D6" w:rsidRDefault="0082751B" w:rsidP="0082751B">
      <w:pPr>
        <w:pStyle w:val="ListParagraph"/>
        <w:numPr>
          <w:ilvl w:val="0"/>
          <w:numId w:val="1"/>
        </w:numPr>
        <w:spacing w:after="160" w:line="360" w:lineRule="auto"/>
        <w:ind w:left="567" w:hanging="567"/>
        <w:jc w:val="both"/>
        <w:rPr>
          <w:rFonts w:ascii="Tahoma" w:hAnsi="Tahoma" w:cs="Tahoma"/>
          <w:color w:val="000000"/>
          <w:sz w:val="24"/>
          <w:szCs w:val="24"/>
        </w:rPr>
      </w:pPr>
      <w:r w:rsidRPr="008D24D6">
        <w:rPr>
          <w:rFonts w:ascii="Tahoma" w:hAnsi="Tahoma" w:cs="Tahoma"/>
          <w:color w:val="000000"/>
          <w:sz w:val="24"/>
          <w:szCs w:val="24"/>
        </w:rPr>
        <w:t xml:space="preserve">It has also been observed that owing to pricing distortions, fuel leakages were being experienced driven by arbitrage activities as the fuel locally was too cheap relative to other regional countries. </w:t>
      </w:r>
    </w:p>
    <w:p w:rsidR="0082751B" w:rsidRDefault="0082751B" w:rsidP="0082751B">
      <w:pPr>
        <w:pStyle w:val="ListParagraph"/>
        <w:spacing w:after="160" w:line="360" w:lineRule="auto"/>
        <w:ind w:left="567"/>
        <w:jc w:val="both"/>
        <w:rPr>
          <w:rFonts w:ascii="Tahoma" w:hAnsi="Tahoma" w:cs="Tahoma"/>
          <w:color w:val="000000"/>
          <w:sz w:val="24"/>
          <w:szCs w:val="24"/>
        </w:rPr>
      </w:pPr>
    </w:p>
    <w:p w:rsidR="0082751B" w:rsidRPr="00A76910" w:rsidRDefault="0082751B" w:rsidP="0082751B">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lastRenderedPageBreak/>
        <w:t>In order to curb arbitrage and leakages in the fuel sector,</w:t>
      </w:r>
      <w:r w:rsidRPr="00A76910">
        <w:rPr>
          <w:rFonts w:ascii="Tahoma" w:hAnsi="Tahoma" w:cs="Tahoma"/>
          <w:sz w:val="24"/>
          <w:szCs w:val="24"/>
        </w:rPr>
        <w:t xml:space="preserve"> Government in January</w:t>
      </w:r>
      <w:r>
        <w:rPr>
          <w:rFonts w:ascii="Tahoma" w:hAnsi="Tahoma" w:cs="Tahoma"/>
          <w:sz w:val="24"/>
          <w:szCs w:val="24"/>
        </w:rPr>
        <w:t xml:space="preserve"> adjusted the </w:t>
      </w:r>
      <w:r w:rsidRPr="00A76910">
        <w:rPr>
          <w:rFonts w:ascii="Tahoma" w:hAnsi="Tahoma" w:cs="Tahoma"/>
          <w:sz w:val="24"/>
          <w:szCs w:val="24"/>
        </w:rPr>
        <w:t>prices</w:t>
      </w:r>
      <w:r>
        <w:rPr>
          <w:rFonts w:ascii="Tahoma" w:hAnsi="Tahoma" w:cs="Tahoma"/>
          <w:sz w:val="24"/>
          <w:szCs w:val="24"/>
        </w:rPr>
        <w:t xml:space="preserve"> of</w:t>
      </w:r>
      <w:r w:rsidRPr="00A76910">
        <w:rPr>
          <w:rFonts w:ascii="Tahoma" w:hAnsi="Tahoma" w:cs="Tahoma"/>
          <w:sz w:val="24"/>
          <w:szCs w:val="24"/>
        </w:rPr>
        <w:t xml:space="preserve"> diesel and petrol</w:t>
      </w:r>
      <w:r>
        <w:rPr>
          <w:rFonts w:ascii="Tahoma" w:hAnsi="Tahoma" w:cs="Tahoma"/>
          <w:sz w:val="24"/>
          <w:szCs w:val="24"/>
        </w:rPr>
        <w:t xml:space="preserve"> by </w:t>
      </w:r>
      <w:r w:rsidRPr="006D331F">
        <w:rPr>
          <w:rFonts w:ascii="Tahoma" w:hAnsi="Tahoma" w:cs="Tahoma"/>
          <w:sz w:val="24"/>
          <w:szCs w:val="24"/>
        </w:rPr>
        <w:t>150%.</w:t>
      </w:r>
      <w:r w:rsidRPr="00A76910">
        <w:rPr>
          <w:rFonts w:ascii="Tahoma" w:hAnsi="Tahoma" w:cs="Tahoma"/>
          <w:sz w:val="24"/>
          <w:szCs w:val="24"/>
        </w:rPr>
        <w:t xml:space="preserve"> </w:t>
      </w:r>
      <w:r>
        <w:rPr>
          <w:rFonts w:ascii="Tahoma" w:hAnsi="Tahoma" w:cs="Tahoma"/>
          <w:sz w:val="24"/>
          <w:szCs w:val="24"/>
        </w:rPr>
        <w:t xml:space="preserve">Since then, fuel prices except for </w:t>
      </w:r>
      <w:r w:rsidRPr="00A76910">
        <w:rPr>
          <w:rFonts w:ascii="Tahoma" w:hAnsi="Tahoma" w:cs="Tahoma"/>
          <w:sz w:val="24"/>
          <w:szCs w:val="24"/>
        </w:rPr>
        <w:t xml:space="preserve">gas and paraffin </w:t>
      </w:r>
      <w:r>
        <w:rPr>
          <w:rFonts w:ascii="Tahoma" w:hAnsi="Tahoma" w:cs="Tahoma"/>
          <w:sz w:val="24"/>
          <w:szCs w:val="24"/>
        </w:rPr>
        <w:t>have generally remained stable.</w:t>
      </w:r>
      <w:r w:rsidRPr="00A76910">
        <w:rPr>
          <w:rFonts w:ascii="Tahoma" w:hAnsi="Tahoma" w:cs="Tahoma"/>
          <w:sz w:val="24"/>
          <w:szCs w:val="24"/>
        </w:rPr>
        <w:t xml:space="preserve"> </w:t>
      </w:r>
    </w:p>
    <w:p w:rsidR="0082751B" w:rsidRPr="009F77F5" w:rsidRDefault="0082751B" w:rsidP="0082751B">
      <w:pPr>
        <w:spacing w:after="0" w:line="360" w:lineRule="auto"/>
        <w:rPr>
          <w:rFonts w:ascii="Tahoma" w:hAnsi="Tahoma" w:cs="Tahoma"/>
          <w:sz w:val="24"/>
          <w:szCs w:val="24"/>
        </w:rPr>
      </w:pPr>
    </w:p>
    <w:p w:rsidR="0082751B" w:rsidRPr="00F321B7" w:rsidRDefault="0082751B" w:rsidP="0082751B">
      <w:pPr>
        <w:spacing w:after="0" w:line="360" w:lineRule="auto"/>
        <w:ind w:firstLine="720"/>
        <w:rPr>
          <w:rFonts w:ascii="Tahoma" w:hAnsi="Tahoma" w:cs="Tahoma"/>
          <w:b/>
          <w:sz w:val="24"/>
          <w:szCs w:val="24"/>
        </w:rPr>
      </w:pPr>
      <w:r w:rsidRPr="00F321B7">
        <w:rPr>
          <w:rFonts w:ascii="Tahoma" w:hAnsi="Tahoma" w:cs="Tahoma"/>
          <w:b/>
          <w:sz w:val="24"/>
          <w:szCs w:val="24"/>
        </w:rPr>
        <w:t xml:space="preserve">Prices of Petroleum Products </w:t>
      </w:r>
    </w:p>
    <w:p w:rsidR="0082751B" w:rsidRPr="009F77F5" w:rsidRDefault="0082751B" w:rsidP="0082751B">
      <w:pPr>
        <w:spacing w:after="0" w:line="360" w:lineRule="auto"/>
        <w:ind w:firstLine="720"/>
        <w:rPr>
          <w:rFonts w:ascii="Tahoma" w:hAnsi="Tahoma" w:cs="Tahoma"/>
          <w:sz w:val="24"/>
          <w:szCs w:val="24"/>
        </w:rPr>
      </w:pPr>
      <w:r>
        <w:rPr>
          <w:noProof/>
          <w:lang w:val="en-ZW" w:eastAsia="en-ZW"/>
        </w:rPr>
        <w:drawing>
          <wp:inline distT="0" distB="0" distL="0" distR="0" wp14:anchorId="035FE8C6" wp14:editId="1171A144">
            <wp:extent cx="5675586" cy="2743200"/>
            <wp:effectExtent l="0" t="0" r="190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751B" w:rsidRDefault="0082751B" w:rsidP="0082751B">
      <w:pPr>
        <w:pStyle w:val="ListParagraph"/>
        <w:spacing w:after="160" w:line="360" w:lineRule="auto"/>
        <w:ind w:left="567"/>
        <w:jc w:val="both"/>
        <w:rPr>
          <w:rFonts w:ascii="Tahoma" w:hAnsi="Tahoma" w:cs="Tahoma"/>
          <w:sz w:val="24"/>
          <w:szCs w:val="24"/>
        </w:rPr>
      </w:pPr>
    </w:p>
    <w:p w:rsidR="0082751B" w:rsidRPr="00CD2B56" w:rsidRDefault="0082751B" w:rsidP="0082751B">
      <w:pPr>
        <w:pStyle w:val="ListParagraph"/>
        <w:numPr>
          <w:ilvl w:val="0"/>
          <w:numId w:val="1"/>
        </w:numPr>
        <w:spacing w:after="160" w:line="360" w:lineRule="auto"/>
        <w:ind w:left="567" w:hanging="567"/>
        <w:jc w:val="both"/>
        <w:rPr>
          <w:rFonts w:ascii="Tahoma" w:hAnsi="Tahoma" w:cs="Tahoma"/>
          <w:noProof/>
          <w:sz w:val="24"/>
          <w:szCs w:val="24"/>
        </w:rPr>
      </w:pPr>
      <w:r>
        <w:rPr>
          <w:rFonts w:ascii="Tahoma" w:hAnsi="Tahoma" w:cs="Tahoma"/>
          <w:noProof/>
          <w:sz w:val="24"/>
          <w:szCs w:val="24"/>
        </w:rPr>
        <w:t>Similarly, t</w:t>
      </w:r>
      <w:r w:rsidRPr="00CD2B56">
        <w:rPr>
          <w:rFonts w:ascii="Tahoma" w:hAnsi="Tahoma" w:cs="Tahoma"/>
          <w:noProof/>
          <w:sz w:val="24"/>
          <w:szCs w:val="24"/>
        </w:rPr>
        <w:t xml:space="preserve">he usage of diesel and petrol in the country </w:t>
      </w:r>
      <w:r>
        <w:rPr>
          <w:rFonts w:ascii="Tahoma" w:hAnsi="Tahoma" w:cs="Tahoma"/>
          <w:noProof/>
          <w:sz w:val="24"/>
          <w:szCs w:val="24"/>
        </w:rPr>
        <w:t xml:space="preserve">has </w:t>
      </w:r>
      <w:r w:rsidRPr="00CD2B56">
        <w:rPr>
          <w:rFonts w:ascii="Tahoma" w:hAnsi="Tahoma" w:cs="Tahoma"/>
          <w:noProof/>
          <w:sz w:val="24"/>
          <w:szCs w:val="24"/>
        </w:rPr>
        <w:t>slowed d</w:t>
      </w:r>
      <w:r>
        <w:rPr>
          <w:rFonts w:ascii="Tahoma" w:hAnsi="Tahoma" w:cs="Tahoma"/>
          <w:noProof/>
          <w:sz w:val="24"/>
          <w:szCs w:val="24"/>
        </w:rPr>
        <w:t>own</w:t>
      </w:r>
      <w:r w:rsidRPr="00CD2B56">
        <w:rPr>
          <w:rFonts w:ascii="Tahoma" w:hAnsi="Tahoma" w:cs="Tahoma"/>
          <w:noProof/>
          <w:sz w:val="24"/>
          <w:szCs w:val="24"/>
        </w:rPr>
        <w:t xml:space="preserve">. </w:t>
      </w:r>
    </w:p>
    <w:p w:rsidR="0082751B" w:rsidRPr="00CD2B56" w:rsidRDefault="0082751B" w:rsidP="0082751B">
      <w:pPr>
        <w:pStyle w:val="ListParagraph"/>
        <w:spacing w:after="0" w:line="360" w:lineRule="auto"/>
        <w:jc w:val="both"/>
        <w:rPr>
          <w:rFonts w:ascii="Tahoma" w:hAnsi="Tahoma" w:cs="Tahoma"/>
          <w:noProof/>
          <w:sz w:val="24"/>
          <w:szCs w:val="24"/>
        </w:rPr>
      </w:pPr>
    </w:p>
    <w:p w:rsidR="0082751B" w:rsidRPr="006D331F" w:rsidRDefault="0082751B" w:rsidP="0082751B">
      <w:pPr>
        <w:pStyle w:val="ListParagraph"/>
        <w:numPr>
          <w:ilvl w:val="0"/>
          <w:numId w:val="1"/>
        </w:numPr>
        <w:spacing w:after="160" w:line="360" w:lineRule="auto"/>
        <w:ind w:left="567" w:hanging="567"/>
        <w:jc w:val="both"/>
        <w:rPr>
          <w:rFonts w:ascii="Tahoma" w:hAnsi="Tahoma" w:cs="Tahoma"/>
          <w:noProof/>
          <w:sz w:val="24"/>
          <w:szCs w:val="24"/>
        </w:rPr>
      </w:pPr>
      <w:r w:rsidRPr="00CD2B56">
        <w:rPr>
          <w:rFonts w:ascii="Tahoma" w:hAnsi="Tahoma" w:cs="Tahoma"/>
          <w:noProof/>
          <w:sz w:val="24"/>
          <w:szCs w:val="24"/>
        </w:rPr>
        <w:t xml:space="preserve">Diesel valued at US$138.7 million was imported during the first two months of the year compared to US$224.8 million of the last two months of 2018. </w:t>
      </w:r>
      <w:r w:rsidRPr="006D331F">
        <w:rPr>
          <w:rFonts w:ascii="Tahoma" w:hAnsi="Tahoma" w:cs="Tahoma"/>
          <w:noProof/>
          <w:sz w:val="24"/>
          <w:szCs w:val="24"/>
        </w:rPr>
        <w:t xml:space="preserve">On the other hand, petrol worth US$74.3 million was imported over the same period compared to US$105.5 million of the last two months of 2018. </w:t>
      </w:r>
    </w:p>
    <w:p w:rsidR="0082751B" w:rsidRPr="00CD2B56" w:rsidRDefault="0082751B" w:rsidP="0082751B">
      <w:pPr>
        <w:pStyle w:val="ListParagraph"/>
        <w:spacing w:after="0" w:line="360" w:lineRule="auto"/>
        <w:jc w:val="both"/>
        <w:rPr>
          <w:rFonts w:ascii="Tahoma" w:hAnsi="Tahoma" w:cs="Tahoma"/>
          <w:noProof/>
          <w:sz w:val="24"/>
          <w:szCs w:val="24"/>
        </w:rPr>
      </w:pPr>
    </w:p>
    <w:p w:rsidR="0082751B" w:rsidRPr="006D331F" w:rsidRDefault="0082751B" w:rsidP="0082751B">
      <w:pPr>
        <w:pStyle w:val="ListParagraph"/>
        <w:spacing w:after="0" w:line="360" w:lineRule="auto"/>
        <w:jc w:val="both"/>
        <w:rPr>
          <w:rFonts w:ascii="Tahoma" w:hAnsi="Tahoma" w:cs="Tahoma"/>
          <w:b/>
          <w:noProof/>
          <w:sz w:val="24"/>
          <w:szCs w:val="24"/>
        </w:rPr>
      </w:pPr>
      <w:r w:rsidRPr="006D331F">
        <w:rPr>
          <w:rFonts w:ascii="Tahoma" w:hAnsi="Tahoma" w:cs="Tahoma"/>
          <w:b/>
          <w:noProof/>
          <w:sz w:val="24"/>
          <w:szCs w:val="24"/>
        </w:rPr>
        <w:t xml:space="preserve">Fuel imports </w:t>
      </w:r>
    </w:p>
    <w:p w:rsidR="0082751B" w:rsidRPr="00CD2B56" w:rsidRDefault="0082751B" w:rsidP="0082751B">
      <w:pPr>
        <w:pStyle w:val="ListParagraph"/>
        <w:spacing w:after="0" w:line="360" w:lineRule="auto"/>
        <w:jc w:val="both"/>
        <w:rPr>
          <w:rFonts w:ascii="Tahoma" w:hAnsi="Tahoma" w:cs="Tahoma"/>
          <w:noProof/>
          <w:sz w:val="24"/>
          <w:szCs w:val="24"/>
        </w:rPr>
      </w:pPr>
      <w:r w:rsidRPr="00CD2B56">
        <w:rPr>
          <w:rFonts w:ascii="Tahoma" w:hAnsi="Tahoma" w:cs="Tahoma"/>
          <w:noProof/>
          <w:sz w:val="24"/>
          <w:szCs w:val="24"/>
        </w:rPr>
        <w:lastRenderedPageBreak/>
        <w:t xml:space="preserve"> </w:t>
      </w:r>
      <w:r w:rsidRPr="00CD2B56">
        <w:rPr>
          <w:rFonts w:ascii="Tahoma" w:hAnsi="Tahoma" w:cs="Tahoma"/>
          <w:noProof/>
          <w:sz w:val="24"/>
          <w:szCs w:val="24"/>
          <w:lang w:eastAsia="en-ZW"/>
        </w:rPr>
        <w:drawing>
          <wp:inline distT="0" distB="0" distL="0" distR="0" wp14:anchorId="4F445D0F" wp14:editId="0CB2DA80">
            <wp:extent cx="5334000" cy="27559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2755900"/>
                    </a:xfrm>
                    <a:prstGeom prst="rect">
                      <a:avLst/>
                    </a:prstGeom>
                    <a:noFill/>
                  </pic:spPr>
                </pic:pic>
              </a:graphicData>
            </a:graphic>
          </wp:inline>
        </w:drawing>
      </w:r>
    </w:p>
    <w:p w:rsidR="0082751B" w:rsidRPr="00CD2B56" w:rsidRDefault="0082751B" w:rsidP="0082751B">
      <w:pPr>
        <w:spacing w:after="0" w:line="360" w:lineRule="auto"/>
        <w:ind w:left="720"/>
        <w:contextualSpacing/>
        <w:jc w:val="both"/>
        <w:rPr>
          <w:rFonts w:ascii="Tahoma" w:hAnsi="Tahoma" w:cs="Tahoma"/>
          <w:sz w:val="24"/>
          <w:szCs w:val="24"/>
        </w:rPr>
      </w:pPr>
      <w:r>
        <w:rPr>
          <w:rFonts w:ascii="Tahoma" w:hAnsi="Tahoma" w:cs="Tahoma"/>
          <w:sz w:val="24"/>
          <w:szCs w:val="24"/>
        </w:rPr>
        <w:t>Source: ZERA</w:t>
      </w:r>
    </w:p>
    <w:p w:rsidR="0082751B" w:rsidRDefault="0082751B" w:rsidP="0082751B">
      <w:pPr>
        <w:pStyle w:val="ListParagraph"/>
        <w:spacing w:after="160" w:line="360" w:lineRule="auto"/>
        <w:ind w:left="567"/>
        <w:jc w:val="both"/>
        <w:rPr>
          <w:rFonts w:ascii="Tahoma" w:hAnsi="Tahoma" w:cs="Tahoma"/>
          <w:sz w:val="24"/>
          <w:szCs w:val="24"/>
        </w:rPr>
      </w:pPr>
    </w:p>
    <w:p w:rsidR="0082751B" w:rsidRPr="008D24D6" w:rsidRDefault="0082751B" w:rsidP="0082751B">
      <w:pPr>
        <w:pStyle w:val="ListParagraph"/>
        <w:numPr>
          <w:ilvl w:val="0"/>
          <w:numId w:val="1"/>
        </w:numPr>
        <w:spacing w:after="160" w:line="360" w:lineRule="auto"/>
        <w:ind w:left="567" w:hanging="567"/>
        <w:jc w:val="both"/>
        <w:rPr>
          <w:rFonts w:ascii="Tahoma" w:hAnsi="Tahoma" w:cs="Tahoma"/>
          <w:sz w:val="24"/>
          <w:szCs w:val="24"/>
        </w:rPr>
      </w:pPr>
      <w:r w:rsidRPr="008D24D6">
        <w:rPr>
          <w:rFonts w:ascii="Tahoma" w:hAnsi="Tahoma" w:cs="Tahoma"/>
          <w:color w:val="000000"/>
          <w:sz w:val="24"/>
          <w:szCs w:val="24"/>
        </w:rPr>
        <w:t>Government is making arrangements to ameliorate the fuel supply situation.</w:t>
      </w:r>
    </w:p>
    <w:p w:rsidR="0082751B" w:rsidRDefault="0082751B" w:rsidP="00A740F4">
      <w:pPr>
        <w:pStyle w:val="ListParagraph"/>
        <w:spacing w:after="160" w:line="360" w:lineRule="auto"/>
        <w:ind w:left="567"/>
        <w:jc w:val="both"/>
        <w:rPr>
          <w:rFonts w:ascii="Tahoma" w:hAnsi="Tahoma" w:cs="Tahoma"/>
          <w:sz w:val="26"/>
          <w:szCs w:val="26"/>
        </w:rPr>
      </w:pPr>
    </w:p>
    <w:p w:rsidR="00AB286E" w:rsidRPr="00CD2B56" w:rsidRDefault="00AB286E" w:rsidP="006D331F">
      <w:pPr>
        <w:pStyle w:val="Heading1"/>
        <w:ind w:firstLine="567"/>
        <w:rPr>
          <w:rFonts w:ascii="Tahoma" w:hAnsi="Tahoma" w:cs="Tahoma"/>
          <w:b/>
          <w:color w:val="auto"/>
          <w:sz w:val="24"/>
          <w:szCs w:val="24"/>
        </w:rPr>
      </w:pPr>
      <w:bookmarkStart w:id="8" w:name="_Toc8301948"/>
      <w:r w:rsidRPr="00CD2B56">
        <w:rPr>
          <w:rFonts w:ascii="Tahoma" w:hAnsi="Tahoma" w:cs="Tahoma"/>
          <w:b/>
          <w:color w:val="auto"/>
          <w:sz w:val="24"/>
          <w:szCs w:val="24"/>
        </w:rPr>
        <w:t>INFLATION DEVELOPMENTS</w:t>
      </w:r>
      <w:bookmarkEnd w:id="8"/>
      <w:r w:rsidRPr="00CD2B56">
        <w:rPr>
          <w:rFonts w:ascii="Tahoma" w:hAnsi="Tahoma" w:cs="Tahoma"/>
          <w:b/>
          <w:color w:val="auto"/>
          <w:sz w:val="24"/>
          <w:szCs w:val="24"/>
        </w:rPr>
        <w:t xml:space="preserve"> </w:t>
      </w:r>
    </w:p>
    <w:p w:rsidR="00420851" w:rsidRPr="00CD2B56" w:rsidRDefault="00420851" w:rsidP="0037054B">
      <w:pPr>
        <w:pStyle w:val="ListParagraph"/>
        <w:spacing w:after="0" w:line="360" w:lineRule="auto"/>
        <w:jc w:val="both"/>
        <w:rPr>
          <w:rFonts w:ascii="Tahoma" w:hAnsi="Tahoma" w:cs="Tahoma"/>
          <w:noProof/>
          <w:sz w:val="24"/>
          <w:szCs w:val="24"/>
        </w:rPr>
      </w:pPr>
    </w:p>
    <w:p w:rsidR="00420851" w:rsidRDefault="00420851" w:rsidP="00B44CB2">
      <w:pPr>
        <w:pStyle w:val="ListParagraph"/>
        <w:numPr>
          <w:ilvl w:val="0"/>
          <w:numId w:val="1"/>
        </w:numPr>
        <w:spacing w:after="160" w:line="360" w:lineRule="auto"/>
        <w:ind w:left="567" w:hanging="567"/>
        <w:jc w:val="both"/>
        <w:rPr>
          <w:rFonts w:ascii="Tahoma" w:hAnsi="Tahoma" w:cs="Tahoma"/>
          <w:sz w:val="24"/>
          <w:szCs w:val="24"/>
        </w:rPr>
      </w:pPr>
      <w:r w:rsidRPr="00CD2B56">
        <w:rPr>
          <w:rFonts w:ascii="Tahoma" w:hAnsi="Tahoma" w:cs="Tahoma"/>
          <w:sz w:val="24"/>
          <w:szCs w:val="24"/>
        </w:rPr>
        <w:t>Inflationary pressures</w:t>
      </w:r>
      <w:r w:rsidR="003B470F">
        <w:rPr>
          <w:rFonts w:ascii="Tahoma" w:hAnsi="Tahoma" w:cs="Tahoma"/>
          <w:sz w:val="24"/>
          <w:szCs w:val="24"/>
        </w:rPr>
        <w:t>,</w:t>
      </w:r>
      <w:r w:rsidRPr="00CD2B56">
        <w:rPr>
          <w:rFonts w:ascii="Tahoma" w:hAnsi="Tahoma" w:cs="Tahoma"/>
          <w:sz w:val="24"/>
          <w:szCs w:val="24"/>
        </w:rPr>
        <w:t xml:space="preserve"> despite remaining relatively high, slowed down compared to the previous quarter. </w:t>
      </w:r>
      <w:r w:rsidRPr="00340081">
        <w:rPr>
          <w:rFonts w:ascii="Tahoma" w:hAnsi="Tahoma" w:cs="Tahoma"/>
          <w:sz w:val="24"/>
          <w:szCs w:val="24"/>
        </w:rPr>
        <w:t>This</w:t>
      </w:r>
      <w:r w:rsidR="002633AB" w:rsidRPr="00340081">
        <w:rPr>
          <w:rFonts w:ascii="Tahoma" w:hAnsi="Tahoma" w:cs="Tahoma"/>
          <w:sz w:val="24"/>
          <w:szCs w:val="24"/>
        </w:rPr>
        <w:t xml:space="preserve"> reflects the positive impact of </w:t>
      </w:r>
      <w:r w:rsidRPr="00CD2B56">
        <w:rPr>
          <w:rFonts w:ascii="Tahoma" w:hAnsi="Tahoma" w:cs="Tahoma"/>
          <w:sz w:val="24"/>
          <w:szCs w:val="24"/>
        </w:rPr>
        <w:t>fiscal consolidation, liberalisation of the exchange rate, and the t</w:t>
      </w:r>
      <w:r w:rsidR="0037054B">
        <w:rPr>
          <w:rFonts w:ascii="Tahoma" w:hAnsi="Tahoma" w:cs="Tahoma"/>
          <w:sz w:val="24"/>
          <w:szCs w:val="24"/>
        </w:rPr>
        <w:t xml:space="preserve">ight monetary policy measures. </w:t>
      </w:r>
    </w:p>
    <w:p w:rsidR="004A2FC1" w:rsidRDefault="004A2FC1" w:rsidP="004A2FC1">
      <w:pPr>
        <w:pStyle w:val="ListParagraph"/>
        <w:spacing w:after="160" w:line="360" w:lineRule="auto"/>
        <w:ind w:left="567"/>
        <w:jc w:val="both"/>
        <w:rPr>
          <w:rFonts w:ascii="Tahoma" w:hAnsi="Tahoma" w:cs="Tahoma"/>
          <w:sz w:val="24"/>
          <w:szCs w:val="24"/>
        </w:rPr>
      </w:pPr>
    </w:p>
    <w:p w:rsidR="004A2FC1" w:rsidRPr="004A2FC1" w:rsidRDefault="004A2FC1" w:rsidP="004A2FC1">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Indeed, a</w:t>
      </w:r>
      <w:r w:rsidRPr="004A2FC1">
        <w:rPr>
          <w:rFonts w:ascii="Tahoma" w:hAnsi="Tahoma" w:cs="Tahoma"/>
          <w:sz w:val="24"/>
          <w:szCs w:val="24"/>
        </w:rPr>
        <w:t xml:space="preserve">nnual broad money supply growth </w:t>
      </w:r>
      <w:r>
        <w:rPr>
          <w:rFonts w:ascii="Tahoma" w:hAnsi="Tahoma" w:cs="Tahoma"/>
          <w:sz w:val="24"/>
          <w:szCs w:val="24"/>
        </w:rPr>
        <w:t xml:space="preserve">has significantly </w:t>
      </w:r>
      <w:r w:rsidRPr="004A2FC1">
        <w:rPr>
          <w:rFonts w:ascii="Tahoma" w:hAnsi="Tahoma" w:cs="Tahoma"/>
          <w:sz w:val="24"/>
          <w:szCs w:val="24"/>
        </w:rPr>
        <w:t>slow</w:t>
      </w:r>
      <w:r>
        <w:rPr>
          <w:rFonts w:ascii="Tahoma" w:hAnsi="Tahoma" w:cs="Tahoma"/>
          <w:sz w:val="24"/>
          <w:szCs w:val="24"/>
        </w:rPr>
        <w:t xml:space="preserve">ed </w:t>
      </w:r>
      <w:r w:rsidRPr="004A2FC1">
        <w:rPr>
          <w:rFonts w:ascii="Tahoma" w:hAnsi="Tahoma" w:cs="Tahoma"/>
          <w:sz w:val="24"/>
          <w:szCs w:val="24"/>
        </w:rPr>
        <w:t xml:space="preserve">down </w:t>
      </w:r>
      <w:r>
        <w:rPr>
          <w:rFonts w:ascii="Tahoma" w:hAnsi="Tahoma" w:cs="Tahoma"/>
          <w:sz w:val="24"/>
          <w:szCs w:val="24"/>
        </w:rPr>
        <w:t xml:space="preserve">from 45% in July 2018 to current levels of around 25%. This declining trend is </w:t>
      </w:r>
      <w:r w:rsidRPr="004A2FC1">
        <w:rPr>
          <w:rFonts w:ascii="Tahoma" w:hAnsi="Tahoma" w:cs="Tahoma"/>
          <w:sz w:val="24"/>
          <w:szCs w:val="24"/>
        </w:rPr>
        <w:t xml:space="preserve">expected to continue </w:t>
      </w:r>
      <w:r>
        <w:rPr>
          <w:rFonts w:ascii="Tahoma" w:hAnsi="Tahoma" w:cs="Tahoma"/>
          <w:sz w:val="24"/>
          <w:szCs w:val="24"/>
        </w:rPr>
        <w:t>during</w:t>
      </w:r>
      <w:r w:rsidRPr="004A2FC1">
        <w:rPr>
          <w:rFonts w:ascii="Tahoma" w:hAnsi="Tahoma" w:cs="Tahoma"/>
          <w:sz w:val="24"/>
          <w:szCs w:val="24"/>
        </w:rPr>
        <w:t xml:space="preserve"> 2019</w:t>
      </w:r>
      <w:r>
        <w:rPr>
          <w:rFonts w:ascii="Tahoma" w:hAnsi="Tahoma" w:cs="Tahoma"/>
          <w:sz w:val="24"/>
          <w:szCs w:val="24"/>
        </w:rPr>
        <w:t xml:space="preserve"> consistent with TSP targets</w:t>
      </w:r>
      <w:r w:rsidRPr="004A2FC1">
        <w:rPr>
          <w:rFonts w:ascii="Tahoma" w:hAnsi="Tahoma" w:cs="Tahoma"/>
          <w:sz w:val="24"/>
          <w:szCs w:val="24"/>
        </w:rPr>
        <w:t xml:space="preserve">. </w:t>
      </w:r>
    </w:p>
    <w:p w:rsidR="004A2FC1" w:rsidRDefault="004A2FC1" w:rsidP="004A2FC1">
      <w:pPr>
        <w:rPr>
          <w:rFonts w:ascii="Tahoma" w:hAnsi="Tahoma" w:cs="Tahoma"/>
          <w:sz w:val="24"/>
          <w:szCs w:val="24"/>
        </w:rPr>
      </w:pPr>
    </w:p>
    <w:p w:rsidR="004A2FC1" w:rsidRDefault="004A2FC1" w:rsidP="00FB553C">
      <w:pPr>
        <w:ind w:left="284" w:firstLine="360"/>
      </w:pPr>
      <w:r>
        <w:rPr>
          <w:noProof/>
          <w:lang w:val="en-ZW" w:eastAsia="en-ZW"/>
        </w:rPr>
        <w:lastRenderedPageBreak/>
        <w:drawing>
          <wp:inline distT="0" distB="0" distL="0" distR="0">
            <wp:extent cx="5124450" cy="27527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553C" w:rsidRDefault="00FB553C" w:rsidP="00FB553C">
      <w:pPr>
        <w:pStyle w:val="ListParagraph"/>
        <w:spacing w:after="160" w:line="360" w:lineRule="auto"/>
        <w:ind w:left="567"/>
        <w:jc w:val="both"/>
        <w:rPr>
          <w:rFonts w:ascii="Tahoma" w:hAnsi="Tahoma" w:cs="Tahoma"/>
          <w:sz w:val="24"/>
          <w:szCs w:val="24"/>
        </w:rPr>
      </w:pPr>
    </w:p>
    <w:p w:rsidR="004A2FC1" w:rsidRPr="00FB553C" w:rsidRDefault="00FB553C" w:rsidP="00FB553C">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 xml:space="preserve">Declining money supply growth is a key factor in containing inflation. </w:t>
      </w:r>
    </w:p>
    <w:p w:rsidR="00420851" w:rsidRPr="00CD2B56" w:rsidRDefault="00420851" w:rsidP="00420851">
      <w:pPr>
        <w:pStyle w:val="ListParagraph"/>
        <w:spacing w:after="0" w:line="360" w:lineRule="auto"/>
        <w:jc w:val="both"/>
        <w:rPr>
          <w:rFonts w:ascii="Tahoma" w:hAnsi="Tahoma" w:cs="Tahoma"/>
          <w:noProof/>
          <w:sz w:val="24"/>
          <w:szCs w:val="24"/>
        </w:rPr>
      </w:pPr>
    </w:p>
    <w:p w:rsidR="00420851" w:rsidRPr="00CD2B56" w:rsidRDefault="00420851" w:rsidP="00B44CB2">
      <w:pPr>
        <w:pStyle w:val="ListParagraph"/>
        <w:numPr>
          <w:ilvl w:val="0"/>
          <w:numId w:val="1"/>
        </w:numPr>
        <w:spacing w:after="160" w:line="360" w:lineRule="auto"/>
        <w:ind w:left="567" w:hanging="567"/>
        <w:jc w:val="both"/>
        <w:rPr>
          <w:rFonts w:ascii="Tahoma" w:hAnsi="Tahoma" w:cs="Tahoma"/>
          <w:sz w:val="24"/>
          <w:szCs w:val="24"/>
        </w:rPr>
      </w:pPr>
      <w:r w:rsidRPr="00CD2B56">
        <w:rPr>
          <w:rFonts w:ascii="Tahoma" w:hAnsi="Tahoma" w:cs="Tahoma"/>
          <w:sz w:val="24"/>
          <w:szCs w:val="24"/>
        </w:rPr>
        <w:t xml:space="preserve">Month on month inflation, during the quarter averaged 5.6% against 11.5% of the last </w:t>
      </w:r>
      <w:r w:rsidR="003B470F" w:rsidRPr="00CD2B56">
        <w:rPr>
          <w:rFonts w:ascii="Tahoma" w:hAnsi="Tahoma" w:cs="Tahoma"/>
          <w:sz w:val="24"/>
          <w:szCs w:val="24"/>
        </w:rPr>
        <w:t>quarter</w:t>
      </w:r>
      <w:r w:rsidRPr="00CD2B56">
        <w:rPr>
          <w:rFonts w:ascii="Tahoma" w:hAnsi="Tahoma" w:cs="Tahoma"/>
          <w:sz w:val="24"/>
          <w:szCs w:val="24"/>
        </w:rPr>
        <w:t xml:space="preserve"> of 2018. Due to the </w:t>
      </w:r>
      <w:r w:rsidRPr="00340081">
        <w:rPr>
          <w:rFonts w:ascii="Tahoma" w:hAnsi="Tahoma" w:cs="Tahoma"/>
          <w:sz w:val="24"/>
          <w:szCs w:val="24"/>
        </w:rPr>
        <w:t>elevated base</w:t>
      </w:r>
      <w:r w:rsidRPr="00CD2B56">
        <w:rPr>
          <w:rFonts w:ascii="Tahoma" w:hAnsi="Tahoma" w:cs="Tahoma"/>
          <w:sz w:val="24"/>
          <w:szCs w:val="24"/>
        </w:rPr>
        <w:t xml:space="preserve">, annual inflation recorded 57.6%, 59.6% and 67.8%, in January, February and March, respectively. </w:t>
      </w:r>
    </w:p>
    <w:p w:rsidR="00420851" w:rsidRPr="00CD2B56" w:rsidRDefault="00420851" w:rsidP="00420851">
      <w:pPr>
        <w:spacing w:after="0" w:line="360" w:lineRule="auto"/>
        <w:jc w:val="both"/>
        <w:rPr>
          <w:rFonts w:ascii="Tahoma" w:hAnsi="Tahoma" w:cs="Tahoma"/>
          <w:noProof/>
          <w:sz w:val="24"/>
          <w:szCs w:val="24"/>
        </w:rPr>
      </w:pPr>
    </w:p>
    <w:p w:rsidR="00420851" w:rsidRPr="00F321B7" w:rsidRDefault="00420851" w:rsidP="00420851">
      <w:pPr>
        <w:spacing w:after="0" w:line="360" w:lineRule="auto"/>
        <w:ind w:firstLine="720"/>
        <w:jc w:val="both"/>
        <w:rPr>
          <w:rFonts w:ascii="Tahoma" w:hAnsi="Tahoma" w:cs="Tahoma"/>
          <w:b/>
          <w:noProof/>
          <w:sz w:val="24"/>
          <w:szCs w:val="24"/>
        </w:rPr>
      </w:pPr>
      <w:r w:rsidRPr="00F321B7">
        <w:rPr>
          <w:rFonts w:ascii="Tahoma" w:hAnsi="Tahoma" w:cs="Tahoma"/>
          <w:b/>
          <w:noProof/>
          <w:sz w:val="24"/>
          <w:szCs w:val="24"/>
        </w:rPr>
        <w:t xml:space="preserve">Inflation Profile </w:t>
      </w:r>
    </w:p>
    <w:p w:rsidR="00420851" w:rsidRPr="00CD2B56" w:rsidRDefault="00420851" w:rsidP="00420851">
      <w:pPr>
        <w:spacing w:after="0" w:line="360" w:lineRule="auto"/>
        <w:ind w:firstLine="720"/>
        <w:jc w:val="both"/>
        <w:rPr>
          <w:rFonts w:ascii="Tahoma" w:hAnsi="Tahoma" w:cs="Tahoma"/>
          <w:sz w:val="24"/>
          <w:szCs w:val="24"/>
        </w:rPr>
      </w:pPr>
      <w:r w:rsidRPr="00CD2B56">
        <w:rPr>
          <w:rFonts w:ascii="Tahoma" w:hAnsi="Tahoma" w:cs="Tahoma"/>
          <w:noProof/>
          <w:sz w:val="24"/>
          <w:szCs w:val="24"/>
          <w:lang w:val="en-ZW" w:eastAsia="en-ZW"/>
        </w:rPr>
        <w:drawing>
          <wp:inline distT="0" distB="0" distL="0" distR="0" wp14:anchorId="1BF8161E" wp14:editId="177547C1">
            <wp:extent cx="5495925" cy="237172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0851" w:rsidRPr="00CD2B56" w:rsidRDefault="00420851" w:rsidP="00420851">
      <w:pPr>
        <w:spacing w:after="0" w:line="360" w:lineRule="auto"/>
        <w:jc w:val="both"/>
        <w:rPr>
          <w:rFonts w:ascii="Tahoma" w:hAnsi="Tahoma" w:cs="Tahoma"/>
          <w:sz w:val="24"/>
          <w:szCs w:val="24"/>
        </w:rPr>
      </w:pPr>
    </w:p>
    <w:p w:rsidR="00C96AA3" w:rsidRDefault="00C96AA3" w:rsidP="00C96AA3">
      <w:pPr>
        <w:pStyle w:val="ListParagraph"/>
        <w:numPr>
          <w:ilvl w:val="0"/>
          <w:numId w:val="1"/>
        </w:numPr>
        <w:spacing w:after="160" w:line="360" w:lineRule="auto"/>
        <w:ind w:left="567" w:hanging="567"/>
        <w:jc w:val="both"/>
        <w:rPr>
          <w:rFonts w:ascii="Tahoma" w:hAnsi="Tahoma" w:cs="Tahoma"/>
          <w:sz w:val="24"/>
          <w:szCs w:val="24"/>
        </w:rPr>
      </w:pPr>
      <w:r w:rsidRPr="00CD2B56">
        <w:rPr>
          <w:rFonts w:ascii="Tahoma" w:hAnsi="Tahoma" w:cs="Tahoma"/>
          <w:sz w:val="24"/>
          <w:szCs w:val="24"/>
        </w:rPr>
        <w:lastRenderedPageBreak/>
        <w:t>The parallel e</w:t>
      </w:r>
      <w:r w:rsidR="002633AB">
        <w:rPr>
          <w:rFonts w:ascii="Tahoma" w:hAnsi="Tahoma" w:cs="Tahoma"/>
          <w:sz w:val="24"/>
          <w:szCs w:val="24"/>
        </w:rPr>
        <w:t>xchange market premiums</w:t>
      </w:r>
      <w:r>
        <w:rPr>
          <w:rFonts w:ascii="Tahoma" w:hAnsi="Tahoma" w:cs="Tahoma"/>
          <w:sz w:val="24"/>
          <w:szCs w:val="24"/>
        </w:rPr>
        <w:t xml:space="preserve"> remain</w:t>
      </w:r>
      <w:r w:rsidRPr="00CD2B56">
        <w:rPr>
          <w:rFonts w:ascii="Tahoma" w:hAnsi="Tahoma" w:cs="Tahoma"/>
          <w:sz w:val="24"/>
          <w:szCs w:val="24"/>
        </w:rPr>
        <w:t xml:space="preserve"> the major source of inflation driving up prices, particularly of tradable goods.</w:t>
      </w:r>
    </w:p>
    <w:p w:rsidR="00C96AA3" w:rsidRDefault="00C96AA3" w:rsidP="00C96AA3">
      <w:pPr>
        <w:pStyle w:val="ListParagraph"/>
        <w:spacing w:after="160" w:line="360" w:lineRule="auto"/>
        <w:ind w:left="567"/>
        <w:jc w:val="both"/>
        <w:rPr>
          <w:rFonts w:ascii="Tahoma" w:hAnsi="Tahoma" w:cs="Tahoma"/>
          <w:sz w:val="24"/>
          <w:szCs w:val="24"/>
        </w:rPr>
      </w:pPr>
    </w:p>
    <w:p w:rsidR="00420851" w:rsidRPr="00CD2B56" w:rsidRDefault="00420851" w:rsidP="00B44CB2">
      <w:pPr>
        <w:pStyle w:val="ListParagraph"/>
        <w:numPr>
          <w:ilvl w:val="0"/>
          <w:numId w:val="1"/>
        </w:numPr>
        <w:spacing w:after="160" w:line="360" w:lineRule="auto"/>
        <w:ind w:left="567" w:hanging="567"/>
        <w:jc w:val="both"/>
        <w:rPr>
          <w:rFonts w:ascii="Tahoma" w:hAnsi="Tahoma" w:cs="Tahoma"/>
          <w:sz w:val="24"/>
          <w:szCs w:val="24"/>
        </w:rPr>
      </w:pPr>
      <w:r w:rsidRPr="00CD2B56">
        <w:rPr>
          <w:rFonts w:ascii="Tahoma" w:hAnsi="Tahoma" w:cs="Tahoma"/>
          <w:sz w:val="24"/>
          <w:szCs w:val="24"/>
        </w:rPr>
        <w:t>During the quarter, food and non-alcoholic beverages, restaurants, furniture and clothing, experienced major price hikes</w:t>
      </w:r>
      <w:r w:rsidR="009D1DE5">
        <w:rPr>
          <w:rFonts w:ascii="Tahoma" w:hAnsi="Tahoma" w:cs="Tahoma"/>
          <w:sz w:val="24"/>
          <w:szCs w:val="24"/>
        </w:rPr>
        <w:t xml:space="preserve">, </w:t>
      </w:r>
      <w:r w:rsidR="0096298F">
        <w:rPr>
          <w:rFonts w:ascii="Tahoma" w:hAnsi="Tahoma" w:cs="Tahoma"/>
          <w:sz w:val="24"/>
          <w:szCs w:val="24"/>
        </w:rPr>
        <w:t>reflecting unethical behaviour by most businesses of indexing prices</w:t>
      </w:r>
      <w:r w:rsidRPr="00CD2B56">
        <w:rPr>
          <w:rFonts w:ascii="Tahoma" w:hAnsi="Tahoma" w:cs="Tahoma"/>
          <w:sz w:val="24"/>
          <w:szCs w:val="24"/>
        </w:rPr>
        <w:t xml:space="preserve"> to the parallel </w:t>
      </w:r>
      <w:r w:rsidR="0096298F" w:rsidRPr="00CD2B56">
        <w:rPr>
          <w:rFonts w:ascii="Tahoma" w:hAnsi="Tahoma" w:cs="Tahoma"/>
          <w:sz w:val="24"/>
          <w:szCs w:val="24"/>
        </w:rPr>
        <w:t xml:space="preserve">market </w:t>
      </w:r>
      <w:r w:rsidRPr="00CD2B56">
        <w:rPr>
          <w:rFonts w:ascii="Tahoma" w:hAnsi="Tahoma" w:cs="Tahoma"/>
          <w:sz w:val="24"/>
          <w:szCs w:val="24"/>
        </w:rPr>
        <w:t>exchange</w:t>
      </w:r>
      <w:r w:rsidR="0096298F">
        <w:rPr>
          <w:rFonts w:ascii="Tahoma" w:hAnsi="Tahoma" w:cs="Tahoma"/>
          <w:sz w:val="24"/>
          <w:szCs w:val="24"/>
        </w:rPr>
        <w:t xml:space="preserve"> rates</w:t>
      </w:r>
      <w:r w:rsidRPr="00CD2B56">
        <w:rPr>
          <w:rFonts w:ascii="Tahoma" w:hAnsi="Tahoma" w:cs="Tahoma"/>
          <w:sz w:val="24"/>
          <w:szCs w:val="24"/>
        </w:rPr>
        <w:t>.</w:t>
      </w:r>
    </w:p>
    <w:p w:rsidR="00420851" w:rsidRPr="00CD2B56" w:rsidRDefault="00420851" w:rsidP="00420851">
      <w:pPr>
        <w:pStyle w:val="ListParagraph"/>
        <w:spacing w:after="0" w:line="360" w:lineRule="auto"/>
        <w:jc w:val="both"/>
        <w:rPr>
          <w:rFonts w:ascii="Tahoma" w:hAnsi="Tahoma" w:cs="Tahoma"/>
          <w:sz w:val="24"/>
          <w:szCs w:val="24"/>
        </w:rPr>
      </w:pPr>
    </w:p>
    <w:p w:rsidR="00420851" w:rsidRPr="00F321B7" w:rsidRDefault="00420851" w:rsidP="00420851">
      <w:pPr>
        <w:pStyle w:val="ListParagraph"/>
        <w:spacing w:after="0" w:line="360" w:lineRule="auto"/>
        <w:jc w:val="both"/>
        <w:rPr>
          <w:rFonts w:ascii="Tahoma" w:hAnsi="Tahoma" w:cs="Tahoma"/>
          <w:b/>
          <w:sz w:val="24"/>
          <w:szCs w:val="24"/>
        </w:rPr>
      </w:pPr>
      <w:r w:rsidRPr="00F321B7">
        <w:rPr>
          <w:rFonts w:ascii="Tahoma" w:hAnsi="Tahoma" w:cs="Tahoma"/>
          <w:b/>
          <w:sz w:val="24"/>
          <w:szCs w:val="24"/>
        </w:rPr>
        <w:t xml:space="preserve">Absolute Contributions to Inflation </w:t>
      </w:r>
    </w:p>
    <w:p w:rsidR="00420851" w:rsidRPr="00CD2B56" w:rsidRDefault="00420851" w:rsidP="00420851">
      <w:pPr>
        <w:spacing w:after="0" w:line="360" w:lineRule="auto"/>
        <w:ind w:firstLine="720"/>
        <w:jc w:val="both"/>
        <w:rPr>
          <w:rFonts w:ascii="Tahoma" w:hAnsi="Tahoma" w:cs="Tahoma"/>
          <w:sz w:val="24"/>
          <w:szCs w:val="24"/>
        </w:rPr>
      </w:pPr>
      <w:r w:rsidRPr="00CD2B56">
        <w:rPr>
          <w:rFonts w:ascii="Tahoma" w:hAnsi="Tahoma" w:cs="Tahoma"/>
          <w:noProof/>
          <w:sz w:val="24"/>
          <w:szCs w:val="24"/>
          <w:lang w:val="en-ZW" w:eastAsia="en-ZW"/>
        </w:rPr>
        <w:drawing>
          <wp:inline distT="0" distB="0" distL="0" distR="0" wp14:anchorId="094E7C33" wp14:editId="22FF7623">
            <wp:extent cx="5429250" cy="27813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0851" w:rsidRPr="00CD2B56" w:rsidRDefault="00420851" w:rsidP="00420851">
      <w:pPr>
        <w:spacing w:after="0" w:line="360" w:lineRule="auto"/>
        <w:jc w:val="both"/>
        <w:rPr>
          <w:rFonts w:ascii="Tahoma" w:hAnsi="Tahoma" w:cs="Tahoma"/>
          <w:sz w:val="24"/>
          <w:szCs w:val="24"/>
        </w:rPr>
      </w:pPr>
    </w:p>
    <w:p w:rsidR="00420851" w:rsidRDefault="00420851" w:rsidP="00B44CB2">
      <w:pPr>
        <w:pStyle w:val="ListParagraph"/>
        <w:numPr>
          <w:ilvl w:val="0"/>
          <w:numId w:val="1"/>
        </w:numPr>
        <w:spacing w:after="160" w:line="360" w:lineRule="auto"/>
        <w:ind w:left="567" w:hanging="567"/>
        <w:jc w:val="both"/>
        <w:rPr>
          <w:rFonts w:ascii="Tahoma" w:hAnsi="Tahoma" w:cs="Tahoma"/>
          <w:sz w:val="24"/>
          <w:szCs w:val="24"/>
        </w:rPr>
      </w:pPr>
      <w:r w:rsidRPr="00CD2B56">
        <w:rPr>
          <w:rFonts w:ascii="Tahoma" w:hAnsi="Tahoma" w:cs="Tahoma"/>
          <w:sz w:val="24"/>
          <w:szCs w:val="24"/>
        </w:rPr>
        <w:t xml:space="preserve">In the outlook, inflation is anticipated to gradually subside as the impact of fiscal consolidation and the tight monetary policy measures </w:t>
      </w:r>
      <w:r w:rsidR="002633AB" w:rsidRPr="00340081">
        <w:rPr>
          <w:rFonts w:ascii="Tahoma" w:hAnsi="Tahoma" w:cs="Tahoma"/>
          <w:sz w:val="24"/>
          <w:szCs w:val="24"/>
        </w:rPr>
        <w:t>restrain</w:t>
      </w:r>
      <w:r w:rsidRPr="00340081">
        <w:rPr>
          <w:rFonts w:ascii="Tahoma" w:hAnsi="Tahoma" w:cs="Tahoma"/>
          <w:sz w:val="24"/>
          <w:szCs w:val="24"/>
        </w:rPr>
        <w:t xml:space="preserve"> </w:t>
      </w:r>
      <w:r w:rsidRPr="00CD2B56">
        <w:rPr>
          <w:rFonts w:ascii="Tahoma" w:hAnsi="Tahoma" w:cs="Tahoma"/>
          <w:sz w:val="24"/>
          <w:szCs w:val="24"/>
        </w:rPr>
        <w:t xml:space="preserve">demand. </w:t>
      </w:r>
      <w:r w:rsidR="00C96AA3">
        <w:rPr>
          <w:rFonts w:ascii="Tahoma" w:hAnsi="Tahoma" w:cs="Tahoma"/>
          <w:sz w:val="24"/>
          <w:szCs w:val="24"/>
        </w:rPr>
        <w:t xml:space="preserve">Similarly, </w:t>
      </w:r>
      <w:r w:rsidRPr="00CD2B56">
        <w:rPr>
          <w:rFonts w:ascii="Tahoma" w:hAnsi="Tahoma" w:cs="Tahoma"/>
          <w:sz w:val="24"/>
          <w:szCs w:val="24"/>
        </w:rPr>
        <w:t>the gap between the interbank and the parallel exchange rate</w:t>
      </w:r>
      <w:r w:rsidR="00C96AA3">
        <w:rPr>
          <w:rFonts w:ascii="Tahoma" w:hAnsi="Tahoma" w:cs="Tahoma"/>
          <w:sz w:val="24"/>
          <w:szCs w:val="24"/>
        </w:rPr>
        <w:t>s</w:t>
      </w:r>
      <w:r w:rsidRPr="00CD2B56">
        <w:rPr>
          <w:rFonts w:ascii="Tahoma" w:hAnsi="Tahoma" w:cs="Tahoma"/>
          <w:sz w:val="24"/>
          <w:szCs w:val="24"/>
        </w:rPr>
        <w:t xml:space="preserve"> </w:t>
      </w:r>
      <w:r w:rsidR="00C96AA3">
        <w:rPr>
          <w:rFonts w:ascii="Tahoma" w:hAnsi="Tahoma" w:cs="Tahoma"/>
          <w:sz w:val="24"/>
          <w:szCs w:val="24"/>
        </w:rPr>
        <w:t>is</w:t>
      </w:r>
      <w:r w:rsidRPr="00CD2B56">
        <w:rPr>
          <w:rFonts w:ascii="Tahoma" w:hAnsi="Tahoma" w:cs="Tahoma"/>
          <w:sz w:val="24"/>
          <w:szCs w:val="24"/>
        </w:rPr>
        <w:t xml:space="preserve"> </w:t>
      </w:r>
      <w:r w:rsidR="00C96AA3">
        <w:rPr>
          <w:rFonts w:ascii="Tahoma" w:hAnsi="Tahoma" w:cs="Tahoma"/>
          <w:sz w:val="24"/>
          <w:szCs w:val="24"/>
        </w:rPr>
        <w:t xml:space="preserve">anticipated to </w:t>
      </w:r>
      <w:r w:rsidRPr="00CD2B56">
        <w:rPr>
          <w:rFonts w:ascii="Tahoma" w:hAnsi="Tahoma" w:cs="Tahoma"/>
          <w:sz w:val="24"/>
          <w:szCs w:val="24"/>
        </w:rPr>
        <w:t xml:space="preserve">narrow down. </w:t>
      </w:r>
    </w:p>
    <w:p w:rsidR="00C96AA3" w:rsidRDefault="00C96AA3" w:rsidP="00C96AA3">
      <w:pPr>
        <w:spacing w:line="360" w:lineRule="auto"/>
        <w:jc w:val="both"/>
        <w:rPr>
          <w:rFonts w:ascii="Tahoma" w:hAnsi="Tahoma" w:cs="Tahoma"/>
          <w:sz w:val="24"/>
          <w:szCs w:val="24"/>
        </w:rPr>
      </w:pPr>
    </w:p>
    <w:p w:rsidR="00C96AA3" w:rsidRPr="00F321B7" w:rsidRDefault="00F321B7" w:rsidP="00C96AA3">
      <w:pPr>
        <w:spacing w:after="0"/>
        <w:ind w:firstLine="720"/>
        <w:rPr>
          <w:rFonts w:ascii="Tahoma" w:hAnsi="Tahoma" w:cs="Tahoma"/>
          <w:b/>
          <w:sz w:val="24"/>
          <w:szCs w:val="24"/>
        </w:rPr>
      </w:pPr>
      <w:r>
        <w:rPr>
          <w:rFonts w:ascii="Tahoma" w:hAnsi="Tahoma" w:cs="Tahoma"/>
          <w:b/>
          <w:sz w:val="24"/>
          <w:szCs w:val="24"/>
        </w:rPr>
        <w:t>Official Exchange rate v</w:t>
      </w:r>
      <w:r w:rsidR="00C96AA3" w:rsidRPr="00F321B7">
        <w:rPr>
          <w:rFonts w:ascii="Tahoma" w:hAnsi="Tahoma" w:cs="Tahoma"/>
          <w:b/>
          <w:sz w:val="24"/>
          <w:szCs w:val="24"/>
        </w:rPr>
        <w:t xml:space="preserve">s Parallel Exchange Rate </w:t>
      </w:r>
    </w:p>
    <w:p w:rsidR="00C96AA3" w:rsidRPr="009F77F5" w:rsidRDefault="00C96AA3" w:rsidP="00C96AA3">
      <w:pPr>
        <w:spacing w:after="0" w:line="360" w:lineRule="auto"/>
        <w:ind w:firstLine="720"/>
        <w:rPr>
          <w:rFonts w:ascii="Tahoma" w:hAnsi="Tahoma" w:cs="Tahoma"/>
          <w:sz w:val="24"/>
          <w:szCs w:val="24"/>
        </w:rPr>
      </w:pPr>
      <w:r w:rsidRPr="009F77F5">
        <w:rPr>
          <w:rFonts w:ascii="Tahoma" w:hAnsi="Tahoma" w:cs="Tahoma"/>
          <w:noProof/>
          <w:sz w:val="24"/>
          <w:szCs w:val="24"/>
          <w:lang w:val="en-ZW" w:eastAsia="en-ZW"/>
        </w:rPr>
        <w:lastRenderedPageBreak/>
        <w:drawing>
          <wp:inline distT="0" distB="0" distL="0" distR="0" wp14:anchorId="159B9883" wp14:editId="0D368BCC">
            <wp:extent cx="5791200" cy="2660015"/>
            <wp:effectExtent l="0" t="0" r="0" b="698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96AA3" w:rsidRDefault="00C96AA3" w:rsidP="00C96AA3">
      <w:pPr>
        <w:spacing w:after="0" w:line="360" w:lineRule="auto"/>
        <w:rPr>
          <w:rFonts w:ascii="Tahoma" w:hAnsi="Tahoma" w:cs="Tahoma"/>
          <w:sz w:val="24"/>
          <w:szCs w:val="24"/>
        </w:rPr>
      </w:pPr>
    </w:p>
    <w:p w:rsidR="00AB286E" w:rsidRPr="008E095D" w:rsidRDefault="00D04FEC" w:rsidP="00B1518C">
      <w:pPr>
        <w:pStyle w:val="Heading2"/>
        <w:rPr>
          <w:rFonts w:cs="Tahoma"/>
          <w:sz w:val="24"/>
          <w:szCs w:val="24"/>
          <w:lang w:val="en-ZW"/>
        </w:rPr>
      </w:pPr>
      <w:bookmarkStart w:id="9" w:name="_Toc8301949"/>
      <w:r w:rsidRPr="00CD2B56">
        <w:rPr>
          <w:rFonts w:cs="Tahoma"/>
          <w:sz w:val="24"/>
          <w:szCs w:val="24"/>
        </w:rPr>
        <w:t>ZIMBABWE STOCK EXCHANGE</w:t>
      </w:r>
      <w:bookmarkEnd w:id="9"/>
      <w:r w:rsidR="008E095D">
        <w:rPr>
          <w:rFonts w:cs="Tahoma"/>
          <w:sz w:val="24"/>
          <w:szCs w:val="24"/>
          <w:lang w:val="en-ZW"/>
        </w:rPr>
        <w:t xml:space="preserve"> </w:t>
      </w:r>
    </w:p>
    <w:p w:rsidR="0037054B" w:rsidRPr="0037054B" w:rsidRDefault="0037054B" w:rsidP="0037054B">
      <w:pPr>
        <w:spacing w:line="360" w:lineRule="auto"/>
        <w:rPr>
          <w:lang w:val="x-none" w:eastAsia="x-none"/>
        </w:rPr>
      </w:pPr>
    </w:p>
    <w:p w:rsidR="00F247B6" w:rsidRPr="000127D9" w:rsidRDefault="00F247B6" w:rsidP="00F247B6">
      <w:pPr>
        <w:pStyle w:val="ListParagraph"/>
        <w:numPr>
          <w:ilvl w:val="0"/>
          <w:numId w:val="1"/>
        </w:numPr>
        <w:spacing w:after="160" w:line="360" w:lineRule="auto"/>
        <w:ind w:left="567" w:hanging="567"/>
        <w:jc w:val="both"/>
        <w:rPr>
          <w:rFonts w:ascii="Tahoma" w:hAnsi="Tahoma" w:cs="Tahoma"/>
          <w:sz w:val="24"/>
        </w:rPr>
      </w:pPr>
      <w:r w:rsidRPr="000127D9">
        <w:rPr>
          <w:rFonts w:ascii="Tahoma" w:hAnsi="Tahoma" w:cs="Tahoma"/>
          <w:sz w:val="24"/>
        </w:rPr>
        <w:t>Mixed trading characterised the equities market in the first quarter of 2019</w:t>
      </w:r>
      <w:r w:rsidR="002633AB" w:rsidRPr="00340081">
        <w:rPr>
          <w:rFonts w:ascii="Tahoma" w:hAnsi="Tahoma" w:cs="Tahoma"/>
          <w:sz w:val="24"/>
        </w:rPr>
        <w:t xml:space="preserve">. While the </w:t>
      </w:r>
      <w:r w:rsidRPr="00340081">
        <w:rPr>
          <w:rFonts w:ascii="Tahoma" w:hAnsi="Tahoma" w:cs="Tahoma"/>
          <w:sz w:val="24"/>
        </w:rPr>
        <w:t>market started the year with positive gains in January</w:t>
      </w:r>
      <w:r w:rsidR="002633AB" w:rsidRPr="00340081">
        <w:rPr>
          <w:rFonts w:ascii="Tahoma" w:hAnsi="Tahoma" w:cs="Tahoma"/>
          <w:sz w:val="24"/>
        </w:rPr>
        <w:t xml:space="preserve">, </w:t>
      </w:r>
      <w:r w:rsidR="00340081">
        <w:rPr>
          <w:rFonts w:ascii="Tahoma" w:hAnsi="Tahoma" w:cs="Tahoma"/>
          <w:sz w:val="24"/>
        </w:rPr>
        <w:t>some</w:t>
      </w:r>
      <w:r w:rsidRPr="00340081">
        <w:rPr>
          <w:rFonts w:ascii="Tahoma" w:hAnsi="Tahoma" w:cs="Tahoma"/>
          <w:sz w:val="24"/>
        </w:rPr>
        <w:t xml:space="preserve"> losses </w:t>
      </w:r>
      <w:r w:rsidR="002633AB" w:rsidRPr="00340081">
        <w:rPr>
          <w:rFonts w:ascii="Tahoma" w:hAnsi="Tahoma" w:cs="Tahoma"/>
          <w:sz w:val="24"/>
        </w:rPr>
        <w:t xml:space="preserve">were suffered </w:t>
      </w:r>
      <w:r w:rsidRPr="00340081">
        <w:rPr>
          <w:rFonts w:ascii="Tahoma" w:hAnsi="Tahoma" w:cs="Tahoma"/>
          <w:sz w:val="24"/>
        </w:rPr>
        <w:t xml:space="preserve">during </w:t>
      </w:r>
      <w:r w:rsidRPr="000127D9">
        <w:rPr>
          <w:rFonts w:ascii="Tahoma" w:hAnsi="Tahoma" w:cs="Tahoma"/>
          <w:sz w:val="24"/>
        </w:rPr>
        <w:t>the month</w:t>
      </w:r>
      <w:r w:rsidR="002633AB">
        <w:rPr>
          <w:rFonts w:ascii="Tahoma" w:hAnsi="Tahoma" w:cs="Tahoma"/>
          <w:sz w:val="24"/>
        </w:rPr>
        <w:t>s</w:t>
      </w:r>
      <w:r w:rsidRPr="000127D9">
        <w:rPr>
          <w:rFonts w:ascii="Tahoma" w:hAnsi="Tahoma" w:cs="Tahoma"/>
          <w:sz w:val="24"/>
        </w:rPr>
        <w:t xml:space="preserve"> of February and March 2019. </w:t>
      </w:r>
    </w:p>
    <w:p w:rsidR="00F247B6" w:rsidRPr="004021EE" w:rsidRDefault="00F247B6" w:rsidP="00F247B6">
      <w:pPr>
        <w:pStyle w:val="ListParagraph"/>
        <w:rPr>
          <w:rFonts w:ascii="Tahoma" w:hAnsi="Tahoma" w:cs="Tahoma"/>
          <w:sz w:val="24"/>
        </w:rPr>
      </w:pPr>
    </w:p>
    <w:p w:rsidR="00F247B6" w:rsidRPr="002D5C42" w:rsidRDefault="00F247B6" w:rsidP="00F247B6">
      <w:pPr>
        <w:pStyle w:val="ListParagraph"/>
        <w:numPr>
          <w:ilvl w:val="0"/>
          <w:numId w:val="1"/>
        </w:numPr>
        <w:spacing w:after="160" w:line="360" w:lineRule="auto"/>
        <w:ind w:left="567" w:hanging="567"/>
        <w:jc w:val="both"/>
        <w:rPr>
          <w:rFonts w:ascii="Tahoma" w:hAnsi="Tahoma" w:cs="Tahoma"/>
          <w:sz w:val="24"/>
        </w:rPr>
      </w:pPr>
      <w:r w:rsidRPr="002D5C42">
        <w:rPr>
          <w:rFonts w:ascii="Tahoma" w:hAnsi="Tahoma" w:cs="Tahoma"/>
          <w:sz w:val="24"/>
        </w:rPr>
        <w:t xml:space="preserve">The industrial index gained 38.77 points (8.0%) in the month of January 2019 before </w:t>
      </w:r>
      <w:r>
        <w:rPr>
          <w:rFonts w:ascii="Tahoma" w:hAnsi="Tahoma" w:cs="Tahoma"/>
          <w:sz w:val="24"/>
        </w:rPr>
        <w:t>incurring</w:t>
      </w:r>
      <w:r w:rsidRPr="002D5C42">
        <w:rPr>
          <w:rFonts w:ascii="Tahoma" w:hAnsi="Tahoma" w:cs="Tahoma"/>
          <w:sz w:val="24"/>
        </w:rPr>
        <w:t xml:space="preserve"> losses in February and March 2019. Consequently, the </w:t>
      </w:r>
      <w:r>
        <w:rPr>
          <w:rFonts w:ascii="Tahoma" w:hAnsi="Tahoma" w:cs="Tahoma"/>
          <w:sz w:val="24"/>
        </w:rPr>
        <w:t xml:space="preserve">industrials lost 81.77 points </w:t>
      </w:r>
      <w:r w:rsidRPr="002D5C42">
        <w:rPr>
          <w:rFonts w:ascii="Tahoma" w:hAnsi="Tahoma" w:cs="Tahoma"/>
          <w:sz w:val="24"/>
        </w:rPr>
        <w:t>(16.7%) in the first quarter and closed March 2019 weaker at 405.57 points.</w:t>
      </w:r>
    </w:p>
    <w:p w:rsidR="00F247B6" w:rsidRPr="002D5C42" w:rsidRDefault="00F247B6" w:rsidP="00F247B6">
      <w:pPr>
        <w:spacing w:after="0" w:line="360" w:lineRule="auto"/>
        <w:ind w:left="360"/>
        <w:jc w:val="both"/>
        <w:rPr>
          <w:rFonts w:ascii="Tahoma" w:eastAsia="Calibri" w:hAnsi="Tahoma" w:cs="Tahoma"/>
          <w:sz w:val="24"/>
          <w:lang w:val="en-ZW"/>
        </w:rPr>
      </w:pPr>
    </w:p>
    <w:p w:rsidR="00F247B6" w:rsidRPr="002D5C42" w:rsidRDefault="00F247B6" w:rsidP="00F247B6">
      <w:pPr>
        <w:pStyle w:val="ListParagraph"/>
        <w:numPr>
          <w:ilvl w:val="0"/>
          <w:numId w:val="1"/>
        </w:numPr>
        <w:spacing w:after="160" w:line="360" w:lineRule="auto"/>
        <w:ind w:left="567" w:hanging="567"/>
        <w:jc w:val="both"/>
        <w:rPr>
          <w:rFonts w:ascii="Tahoma" w:hAnsi="Tahoma" w:cs="Tahoma"/>
          <w:sz w:val="24"/>
        </w:rPr>
      </w:pPr>
      <w:r w:rsidRPr="002D5C42">
        <w:rPr>
          <w:rFonts w:ascii="Tahoma" w:hAnsi="Tahoma" w:cs="Tahoma"/>
          <w:sz w:val="24"/>
        </w:rPr>
        <w:t xml:space="preserve">The mining index started the year </w:t>
      </w:r>
      <w:r>
        <w:rPr>
          <w:rFonts w:ascii="Tahoma" w:hAnsi="Tahoma" w:cs="Tahoma"/>
          <w:sz w:val="24"/>
        </w:rPr>
        <w:t xml:space="preserve">at </w:t>
      </w:r>
      <w:r w:rsidRPr="002D5C42">
        <w:rPr>
          <w:rFonts w:ascii="Tahoma" w:hAnsi="Tahoma" w:cs="Tahoma"/>
          <w:sz w:val="24"/>
        </w:rPr>
        <w:t xml:space="preserve">a low note </w:t>
      </w:r>
      <w:r>
        <w:rPr>
          <w:rFonts w:ascii="Tahoma" w:hAnsi="Tahoma" w:cs="Tahoma"/>
          <w:sz w:val="24"/>
        </w:rPr>
        <w:t>of</w:t>
      </w:r>
      <w:r w:rsidRPr="002D5C42">
        <w:rPr>
          <w:rFonts w:ascii="Tahoma" w:hAnsi="Tahoma" w:cs="Tahoma"/>
          <w:sz w:val="24"/>
        </w:rPr>
        <w:t xml:space="preserve"> 227.71</w:t>
      </w:r>
      <w:r>
        <w:rPr>
          <w:rFonts w:ascii="Tahoma" w:hAnsi="Tahoma" w:cs="Tahoma"/>
          <w:sz w:val="24"/>
        </w:rPr>
        <w:t xml:space="preserve"> by end of January, the index lost </w:t>
      </w:r>
      <w:r w:rsidRPr="002D5C42">
        <w:rPr>
          <w:rFonts w:ascii="Tahoma" w:hAnsi="Tahoma" w:cs="Tahoma"/>
          <w:sz w:val="24"/>
        </w:rPr>
        <w:t>15.58 points (-6.4%), before further losing more ground in February and March 2019. Resultantly, the resources index had cumulative losses of 33.73 points (-14.8%) during the first quarter and closed the month on March 2019 softer at 193.98 points.</w:t>
      </w:r>
    </w:p>
    <w:p w:rsidR="00F247B6" w:rsidRPr="002D5C42" w:rsidRDefault="00F247B6" w:rsidP="00F247B6">
      <w:pPr>
        <w:spacing w:after="0" w:line="360" w:lineRule="auto"/>
        <w:ind w:left="567"/>
        <w:jc w:val="both"/>
        <w:rPr>
          <w:rFonts w:ascii="Tahoma" w:eastAsia="Calibri" w:hAnsi="Tahoma" w:cs="Tahoma"/>
          <w:sz w:val="24"/>
          <w:lang w:val="en-ZW"/>
        </w:rPr>
      </w:pPr>
    </w:p>
    <w:p w:rsidR="00F247B6" w:rsidRPr="002D5C42" w:rsidRDefault="00F247B6" w:rsidP="00F247B6">
      <w:pPr>
        <w:spacing w:after="0" w:line="360" w:lineRule="auto"/>
        <w:ind w:left="397"/>
        <w:jc w:val="both"/>
        <w:rPr>
          <w:rFonts w:ascii="Tahoma" w:eastAsia="Calibri" w:hAnsi="Tahoma" w:cs="Tahoma"/>
          <w:b/>
          <w:sz w:val="24"/>
          <w:lang w:val="en-ZW"/>
        </w:rPr>
      </w:pPr>
      <w:r w:rsidRPr="002D5C42">
        <w:rPr>
          <w:rFonts w:ascii="Calibri" w:eastAsia="Calibri" w:hAnsi="Calibri" w:cs="Times New Roman"/>
          <w:noProof/>
          <w:sz w:val="24"/>
          <w:lang w:val="en-ZW" w:eastAsia="en-ZW"/>
        </w:rPr>
        <w:lastRenderedPageBreak/>
        <w:drawing>
          <wp:inline distT="0" distB="0" distL="0" distR="0" wp14:anchorId="3BCC4023" wp14:editId="25C5625F">
            <wp:extent cx="5731510" cy="2643505"/>
            <wp:effectExtent l="0" t="0" r="2540" b="44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247B6" w:rsidRPr="002D5C42" w:rsidRDefault="00F247B6" w:rsidP="00F247B6">
      <w:pPr>
        <w:spacing w:after="200" w:line="240" w:lineRule="auto"/>
        <w:ind w:firstLine="360"/>
        <w:rPr>
          <w:rFonts w:ascii="Tahoma" w:eastAsia="Calibri" w:hAnsi="Tahoma" w:cs="Tahoma"/>
          <w:i/>
          <w:iCs/>
          <w:color w:val="44546A"/>
          <w:sz w:val="20"/>
          <w:szCs w:val="18"/>
          <w:lang w:val="en-ZW"/>
        </w:rPr>
      </w:pPr>
      <w:r w:rsidRPr="002D5C42">
        <w:rPr>
          <w:rFonts w:ascii="Tahoma" w:eastAsia="Calibri" w:hAnsi="Tahoma" w:cs="Tahoma"/>
          <w:i/>
          <w:iCs/>
          <w:color w:val="44546A"/>
          <w:sz w:val="20"/>
          <w:szCs w:val="18"/>
          <w:lang w:val="en-ZW"/>
        </w:rPr>
        <w:t>Source: ZSE</w:t>
      </w:r>
    </w:p>
    <w:p w:rsidR="00F247B6" w:rsidRPr="002D5C42" w:rsidRDefault="00F247B6" w:rsidP="00F247B6">
      <w:pPr>
        <w:spacing w:after="0" w:line="240" w:lineRule="auto"/>
        <w:ind w:left="397"/>
        <w:jc w:val="both"/>
        <w:rPr>
          <w:rFonts w:ascii="Tahoma" w:eastAsia="Calibri" w:hAnsi="Tahoma" w:cs="Tahoma"/>
          <w:sz w:val="24"/>
          <w:lang w:val="en-ZW"/>
        </w:rPr>
      </w:pPr>
    </w:p>
    <w:p w:rsidR="00F247B6" w:rsidRPr="002D5C42" w:rsidRDefault="00F247B6" w:rsidP="00F247B6">
      <w:pPr>
        <w:pStyle w:val="ListParagraph"/>
        <w:numPr>
          <w:ilvl w:val="0"/>
          <w:numId w:val="1"/>
        </w:numPr>
        <w:spacing w:after="160" w:line="360" w:lineRule="auto"/>
        <w:ind w:left="567" w:hanging="567"/>
        <w:jc w:val="both"/>
        <w:rPr>
          <w:rFonts w:ascii="Tahoma" w:hAnsi="Tahoma" w:cs="Tahoma"/>
          <w:sz w:val="24"/>
        </w:rPr>
      </w:pPr>
      <w:r w:rsidRPr="002D5C42">
        <w:rPr>
          <w:rFonts w:ascii="Tahoma" w:hAnsi="Tahoma" w:cs="Tahoma"/>
          <w:sz w:val="24"/>
        </w:rPr>
        <w:t xml:space="preserve">The Top Ten Index declined by 30.41 points (21.0%) during the period under review, closing first quarter of 2019 at 114.61 points. The ZSE Top Ten index measures the performance of the listed top ten heavyweight counters and represents 65%-80% of the full market value. </w:t>
      </w:r>
    </w:p>
    <w:p w:rsidR="00F247B6" w:rsidRPr="002D5C42" w:rsidRDefault="00F247B6" w:rsidP="00F247B6">
      <w:pPr>
        <w:spacing w:after="0" w:line="360" w:lineRule="auto"/>
        <w:ind w:left="360"/>
        <w:jc w:val="both"/>
        <w:rPr>
          <w:rFonts w:ascii="Tahoma" w:eastAsia="Calibri" w:hAnsi="Tahoma" w:cs="Tahoma"/>
          <w:sz w:val="24"/>
          <w:lang w:val="en-ZW"/>
        </w:rPr>
      </w:pPr>
    </w:p>
    <w:p w:rsidR="00F247B6" w:rsidRPr="002D5C42" w:rsidRDefault="00F247B6" w:rsidP="00F247B6">
      <w:pPr>
        <w:pStyle w:val="ListParagraph"/>
        <w:numPr>
          <w:ilvl w:val="0"/>
          <w:numId w:val="1"/>
        </w:numPr>
        <w:spacing w:after="160" w:line="360" w:lineRule="auto"/>
        <w:ind w:left="567" w:hanging="567"/>
        <w:jc w:val="both"/>
        <w:rPr>
          <w:rFonts w:ascii="Tahoma" w:hAnsi="Tahoma" w:cs="Tahoma"/>
          <w:sz w:val="24"/>
        </w:rPr>
      </w:pPr>
      <w:r w:rsidRPr="002D5C42">
        <w:rPr>
          <w:rFonts w:ascii="Tahoma" w:hAnsi="Tahoma" w:cs="Tahoma"/>
          <w:sz w:val="24"/>
        </w:rPr>
        <w:t>The All share index, which tracks the changing average value of share prices of all companies on the market, lost 24.58 points (-16.8%).</w:t>
      </w:r>
    </w:p>
    <w:p w:rsidR="00F247B6" w:rsidRPr="002D5C42" w:rsidRDefault="00F247B6" w:rsidP="00F247B6">
      <w:pPr>
        <w:spacing w:after="0" w:line="360" w:lineRule="auto"/>
        <w:ind w:left="360"/>
        <w:jc w:val="both"/>
        <w:rPr>
          <w:rFonts w:ascii="Tahoma" w:eastAsia="Calibri" w:hAnsi="Tahoma" w:cs="Tahoma"/>
          <w:sz w:val="24"/>
          <w:lang w:val="en-ZW"/>
        </w:rPr>
      </w:pPr>
    </w:p>
    <w:p w:rsidR="00F247B6" w:rsidRPr="002D5C42" w:rsidRDefault="00F247B6" w:rsidP="00F247B6">
      <w:pPr>
        <w:pStyle w:val="ListParagraph"/>
        <w:numPr>
          <w:ilvl w:val="0"/>
          <w:numId w:val="1"/>
        </w:numPr>
        <w:spacing w:after="160" w:line="360" w:lineRule="auto"/>
        <w:ind w:left="567" w:hanging="567"/>
        <w:jc w:val="both"/>
        <w:rPr>
          <w:rFonts w:ascii="Tahoma" w:hAnsi="Tahoma" w:cs="Tahoma"/>
          <w:sz w:val="24"/>
        </w:rPr>
      </w:pPr>
      <w:r w:rsidRPr="002D5C42">
        <w:rPr>
          <w:rFonts w:ascii="Tahoma" w:hAnsi="Tahoma" w:cs="Tahoma"/>
          <w:sz w:val="24"/>
        </w:rPr>
        <w:t>Overall, the market capitalisation of the ZSE decreased by -17.2% from $19.3 billion at the beginning of the year to $16.8 billion at the end of the first quarter of 2019.</w:t>
      </w:r>
    </w:p>
    <w:p w:rsidR="00AB286E" w:rsidRPr="00CD2B56" w:rsidRDefault="00AB286E" w:rsidP="00AB286E">
      <w:pPr>
        <w:spacing w:line="360" w:lineRule="auto"/>
        <w:ind w:left="360"/>
        <w:contextualSpacing/>
        <w:jc w:val="both"/>
        <w:rPr>
          <w:rFonts w:ascii="Tahoma" w:eastAsia="Calibri" w:hAnsi="Tahoma" w:cs="Tahoma"/>
          <w:sz w:val="24"/>
          <w:szCs w:val="24"/>
          <w:lang w:val="en-ZW"/>
        </w:rPr>
      </w:pPr>
    </w:p>
    <w:p w:rsidR="0003393C" w:rsidRPr="00CD2B56" w:rsidRDefault="0003393C">
      <w:pPr>
        <w:spacing w:after="200" w:line="276" w:lineRule="auto"/>
        <w:rPr>
          <w:rFonts w:ascii="Tahoma" w:hAnsi="Tahoma" w:cs="Tahoma"/>
          <w:sz w:val="24"/>
          <w:szCs w:val="24"/>
        </w:rPr>
      </w:pPr>
      <w:r w:rsidRPr="00CD2B56">
        <w:rPr>
          <w:rFonts w:ascii="Tahoma" w:hAnsi="Tahoma" w:cs="Tahoma"/>
          <w:sz w:val="24"/>
          <w:szCs w:val="24"/>
        </w:rPr>
        <w:br w:type="page"/>
      </w:r>
    </w:p>
    <w:p w:rsidR="00D50BD8" w:rsidRDefault="00D50BD8" w:rsidP="00D50BD8">
      <w:pPr>
        <w:rPr>
          <w:rFonts w:ascii="Tahoma" w:hAnsi="Tahoma" w:cs="Tahoma"/>
          <w:sz w:val="24"/>
          <w:szCs w:val="24"/>
        </w:rPr>
      </w:pPr>
    </w:p>
    <w:p w:rsidR="002D317A" w:rsidRPr="00CD2B56" w:rsidRDefault="002D317A" w:rsidP="00927493">
      <w:pPr>
        <w:pStyle w:val="Heading1"/>
        <w:ind w:firstLine="567"/>
        <w:rPr>
          <w:rFonts w:ascii="Tahoma" w:hAnsi="Tahoma" w:cs="Tahoma"/>
          <w:b/>
          <w:color w:val="auto"/>
          <w:sz w:val="24"/>
          <w:szCs w:val="24"/>
        </w:rPr>
      </w:pPr>
      <w:bookmarkStart w:id="10" w:name="_Toc449092169"/>
      <w:bookmarkStart w:id="11" w:name="_Toc525651859"/>
      <w:bookmarkStart w:id="12" w:name="_Toc8301941"/>
      <w:bookmarkStart w:id="13" w:name="_Toc432763916"/>
      <w:bookmarkStart w:id="14" w:name="_Toc394493412"/>
      <w:r w:rsidRPr="00CD2B56">
        <w:rPr>
          <w:rFonts w:ascii="Tahoma" w:hAnsi="Tahoma" w:cs="Tahoma"/>
          <w:b/>
          <w:color w:val="auto"/>
          <w:sz w:val="24"/>
          <w:szCs w:val="24"/>
        </w:rPr>
        <w:t>FISCAL PERFORMANCE</w:t>
      </w:r>
      <w:bookmarkEnd w:id="10"/>
      <w:bookmarkEnd w:id="11"/>
      <w:bookmarkEnd w:id="12"/>
    </w:p>
    <w:bookmarkEnd w:id="13"/>
    <w:bookmarkEnd w:id="14"/>
    <w:p w:rsidR="002D317A" w:rsidRPr="00CD2B56" w:rsidRDefault="002D317A" w:rsidP="002D317A">
      <w:pPr>
        <w:tabs>
          <w:tab w:val="left" w:pos="0"/>
        </w:tabs>
        <w:spacing w:after="0" w:line="360" w:lineRule="auto"/>
        <w:jc w:val="both"/>
        <w:rPr>
          <w:rFonts w:ascii="Tahoma" w:hAnsi="Tahoma" w:cs="Tahoma"/>
          <w:sz w:val="24"/>
          <w:szCs w:val="24"/>
          <w:lang w:val="en-ZW" w:eastAsia="x-none"/>
        </w:rPr>
      </w:pPr>
    </w:p>
    <w:p w:rsidR="00927493" w:rsidRDefault="00927493" w:rsidP="002D317A">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 xml:space="preserve">Fiscal </w:t>
      </w:r>
      <w:r w:rsidR="00AD4679">
        <w:rPr>
          <w:rFonts w:ascii="Tahoma" w:hAnsi="Tahoma" w:cs="Tahoma"/>
          <w:sz w:val="24"/>
          <w:szCs w:val="24"/>
        </w:rPr>
        <w:t xml:space="preserve">consolidation and </w:t>
      </w:r>
      <w:r>
        <w:rPr>
          <w:rFonts w:ascii="Tahoma" w:hAnsi="Tahoma" w:cs="Tahoma"/>
          <w:sz w:val="24"/>
          <w:szCs w:val="24"/>
        </w:rPr>
        <w:t>stabilisation measures in the TSP and the 2019 National Budget are paying dividends with r</w:t>
      </w:r>
      <w:r w:rsidR="002D317A" w:rsidRPr="00B138B5">
        <w:rPr>
          <w:rFonts w:ascii="Tahoma" w:hAnsi="Tahoma" w:cs="Tahoma"/>
          <w:sz w:val="24"/>
          <w:szCs w:val="24"/>
        </w:rPr>
        <w:t>evenue collections for the first qu</w:t>
      </w:r>
      <w:r w:rsidR="002D317A">
        <w:rPr>
          <w:rFonts w:ascii="Tahoma" w:hAnsi="Tahoma" w:cs="Tahoma"/>
          <w:sz w:val="24"/>
          <w:szCs w:val="24"/>
        </w:rPr>
        <w:t xml:space="preserve">arter of 2019 </w:t>
      </w:r>
      <w:r>
        <w:rPr>
          <w:rFonts w:ascii="Tahoma" w:hAnsi="Tahoma" w:cs="Tahoma"/>
          <w:sz w:val="24"/>
          <w:szCs w:val="24"/>
        </w:rPr>
        <w:t xml:space="preserve">performing </w:t>
      </w:r>
      <w:r w:rsidR="002D317A">
        <w:rPr>
          <w:rFonts w:ascii="Tahoma" w:hAnsi="Tahoma" w:cs="Tahoma"/>
          <w:sz w:val="24"/>
          <w:szCs w:val="24"/>
        </w:rPr>
        <w:t>above target</w:t>
      </w:r>
      <w:r w:rsidR="00AD4679">
        <w:rPr>
          <w:rFonts w:ascii="Tahoma" w:hAnsi="Tahoma" w:cs="Tahoma"/>
          <w:sz w:val="24"/>
          <w:szCs w:val="24"/>
        </w:rPr>
        <w:t xml:space="preserve"> by $146 million</w:t>
      </w:r>
      <w:r w:rsidR="002D317A" w:rsidRPr="00B138B5">
        <w:rPr>
          <w:rFonts w:ascii="Tahoma" w:hAnsi="Tahoma" w:cs="Tahoma"/>
          <w:sz w:val="24"/>
          <w:szCs w:val="24"/>
        </w:rPr>
        <w:t xml:space="preserve">, while expenditures </w:t>
      </w:r>
      <w:r w:rsidR="002D317A">
        <w:rPr>
          <w:rFonts w:ascii="Tahoma" w:hAnsi="Tahoma" w:cs="Tahoma"/>
          <w:sz w:val="24"/>
          <w:szCs w:val="24"/>
        </w:rPr>
        <w:t>were</w:t>
      </w:r>
      <w:r w:rsidR="002D317A" w:rsidRPr="00B138B5">
        <w:rPr>
          <w:rFonts w:ascii="Tahoma" w:hAnsi="Tahoma" w:cs="Tahoma"/>
          <w:sz w:val="24"/>
          <w:szCs w:val="24"/>
        </w:rPr>
        <w:t xml:space="preserve"> </w:t>
      </w:r>
      <w:r w:rsidR="002D317A">
        <w:rPr>
          <w:rFonts w:ascii="Tahoma" w:hAnsi="Tahoma" w:cs="Tahoma"/>
          <w:sz w:val="24"/>
          <w:szCs w:val="24"/>
        </w:rPr>
        <w:t xml:space="preserve">contained </w:t>
      </w:r>
      <w:r w:rsidR="002D317A" w:rsidRPr="00B138B5">
        <w:rPr>
          <w:rFonts w:ascii="Tahoma" w:hAnsi="Tahoma" w:cs="Tahoma"/>
          <w:sz w:val="24"/>
          <w:szCs w:val="24"/>
        </w:rPr>
        <w:t>below the target</w:t>
      </w:r>
      <w:r w:rsidR="00AD4679">
        <w:rPr>
          <w:rFonts w:ascii="Tahoma" w:hAnsi="Tahoma" w:cs="Tahoma"/>
          <w:sz w:val="24"/>
          <w:szCs w:val="24"/>
        </w:rPr>
        <w:t xml:space="preserve"> by $218.9 million</w:t>
      </w:r>
      <w:r w:rsidR="002D317A" w:rsidRPr="00B138B5">
        <w:rPr>
          <w:rFonts w:ascii="Tahoma" w:hAnsi="Tahoma" w:cs="Tahoma"/>
          <w:sz w:val="24"/>
          <w:szCs w:val="24"/>
        </w:rPr>
        <w:t xml:space="preserve">. </w:t>
      </w:r>
    </w:p>
    <w:p w:rsidR="00927493" w:rsidRDefault="00927493" w:rsidP="00927493">
      <w:pPr>
        <w:pStyle w:val="ListParagraph"/>
        <w:spacing w:after="160" w:line="360" w:lineRule="auto"/>
        <w:ind w:left="567"/>
        <w:jc w:val="both"/>
        <w:rPr>
          <w:rFonts w:ascii="Tahoma" w:hAnsi="Tahoma" w:cs="Tahoma"/>
          <w:sz w:val="24"/>
          <w:szCs w:val="24"/>
        </w:rPr>
      </w:pPr>
    </w:p>
    <w:p w:rsidR="002D317A" w:rsidRDefault="00927493" w:rsidP="002D317A">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As a</w:t>
      </w:r>
      <w:r w:rsidR="002D317A" w:rsidRPr="00B138B5">
        <w:rPr>
          <w:rFonts w:ascii="Tahoma" w:hAnsi="Tahoma" w:cs="Tahoma"/>
          <w:sz w:val="24"/>
          <w:szCs w:val="24"/>
        </w:rPr>
        <w:t xml:space="preserve"> result</w:t>
      </w:r>
      <w:r>
        <w:rPr>
          <w:rFonts w:ascii="Tahoma" w:hAnsi="Tahoma" w:cs="Tahoma"/>
          <w:sz w:val="24"/>
          <w:szCs w:val="24"/>
        </w:rPr>
        <w:t xml:space="preserve">, a </w:t>
      </w:r>
      <w:r w:rsidR="002D317A" w:rsidRPr="00B138B5">
        <w:rPr>
          <w:rFonts w:ascii="Tahoma" w:hAnsi="Tahoma" w:cs="Tahoma"/>
          <w:sz w:val="24"/>
          <w:szCs w:val="24"/>
        </w:rPr>
        <w:t xml:space="preserve">budget surplus </w:t>
      </w:r>
      <w:r w:rsidR="002D317A">
        <w:rPr>
          <w:rFonts w:ascii="Tahoma" w:hAnsi="Tahoma" w:cs="Tahoma"/>
          <w:sz w:val="24"/>
          <w:szCs w:val="24"/>
        </w:rPr>
        <w:t xml:space="preserve">of </w:t>
      </w:r>
      <w:r w:rsidR="002D317A" w:rsidRPr="00927493">
        <w:rPr>
          <w:rFonts w:ascii="Tahoma" w:hAnsi="Tahoma" w:cs="Tahoma"/>
          <w:sz w:val="24"/>
          <w:szCs w:val="24"/>
        </w:rPr>
        <w:t>$443.1 million</w:t>
      </w:r>
      <w:r w:rsidRPr="00927493">
        <w:rPr>
          <w:rFonts w:ascii="Tahoma" w:hAnsi="Tahoma" w:cs="Tahoma"/>
          <w:sz w:val="24"/>
          <w:szCs w:val="24"/>
        </w:rPr>
        <w:t xml:space="preserve"> was realised during the quarter</w:t>
      </w:r>
      <w:r w:rsidR="00AD4679">
        <w:rPr>
          <w:rFonts w:ascii="Tahoma" w:hAnsi="Tahoma" w:cs="Tahoma"/>
          <w:sz w:val="24"/>
          <w:szCs w:val="24"/>
        </w:rPr>
        <w:t>, creating additional space for financing capital and social development programmes and unforeseen exigencies related to drought and the impact of cyclone Idai</w:t>
      </w:r>
      <w:r w:rsidR="002D317A" w:rsidRPr="00927493">
        <w:rPr>
          <w:rFonts w:ascii="Tahoma" w:hAnsi="Tahoma" w:cs="Tahoma"/>
          <w:sz w:val="24"/>
          <w:szCs w:val="24"/>
        </w:rPr>
        <w:t>.</w:t>
      </w:r>
    </w:p>
    <w:p w:rsidR="002D317A" w:rsidRDefault="002D317A" w:rsidP="002D317A">
      <w:pPr>
        <w:pStyle w:val="ListParagraph"/>
        <w:spacing w:after="160" w:line="360" w:lineRule="auto"/>
        <w:ind w:left="567"/>
        <w:jc w:val="both"/>
        <w:rPr>
          <w:rFonts w:ascii="Tahoma" w:hAnsi="Tahoma" w:cs="Tahoma"/>
          <w:sz w:val="24"/>
          <w:szCs w:val="24"/>
        </w:rPr>
      </w:pPr>
    </w:p>
    <w:p w:rsidR="002D317A" w:rsidRPr="00EB2531" w:rsidRDefault="002D317A" w:rsidP="002D317A">
      <w:pPr>
        <w:pStyle w:val="Heading2"/>
        <w:ind w:firstLine="720"/>
        <w:jc w:val="both"/>
        <w:rPr>
          <w:rFonts w:cs="Tahoma"/>
          <w:i/>
          <w:sz w:val="24"/>
          <w:szCs w:val="24"/>
        </w:rPr>
      </w:pPr>
      <w:bookmarkStart w:id="15" w:name="_Toc517361601"/>
      <w:bookmarkStart w:id="16" w:name="_Toc8301942"/>
      <w:bookmarkStart w:id="17" w:name="_Toc509561183"/>
      <w:r w:rsidRPr="00EB2531">
        <w:rPr>
          <w:rFonts w:cs="Tahoma"/>
          <w:i/>
          <w:sz w:val="24"/>
          <w:szCs w:val="24"/>
        </w:rPr>
        <w:t>Revenue</w:t>
      </w:r>
      <w:bookmarkEnd w:id="15"/>
      <w:bookmarkEnd w:id="16"/>
      <w:r w:rsidRPr="00EB2531">
        <w:rPr>
          <w:rFonts w:cs="Tahoma"/>
          <w:i/>
          <w:sz w:val="24"/>
          <w:szCs w:val="24"/>
        </w:rPr>
        <w:t xml:space="preserve"> </w:t>
      </w:r>
      <w:bookmarkEnd w:id="17"/>
    </w:p>
    <w:p w:rsidR="002D317A" w:rsidRPr="00972640" w:rsidRDefault="002D317A" w:rsidP="002D317A">
      <w:pPr>
        <w:spacing w:line="360" w:lineRule="auto"/>
        <w:jc w:val="both"/>
        <w:rPr>
          <w:rFonts w:ascii="Tahoma" w:hAnsi="Tahoma" w:cs="Tahoma"/>
          <w:sz w:val="24"/>
          <w:szCs w:val="24"/>
        </w:rPr>
      </w:pPr>
    </w:p>
    <w:p w:rsidR="002D317A" w:rsidRDefault="002D317A" w:rsidP="002D317A">
      <w:pPr>
        <w:pStyle w:val="ListParagraph"/>
        <w:numPr>
          <w:ilvl w:val="0"/>
          <w:numId w:val="1"/>
        </w:numPr>
        <w:spacing w:after="160" w:line="360" w:lineRule="auto"/>
        <w:ind w:left="567" w:hanging="567"/>
        <w:jc w:val="both"/>
        <w:rPr>
          <w:rFonts w:ascii="Tahoma" w:hAnsi="Tahoma" w:cs="Tahoma"/>
          <w:sz w:val="24"/>
          <w:szCs w:val="24"/>
        </w:rPr>
      </w:pPr>
      <w:r w:rsidRPr="00972640">
        <w:rPr>
          <w:rFonts w:ascii="Tahoma" w:hAnsi="Tahoma" w:cs="Tahoma"/>
          <w:sz w:val="24"/>
          <w:szCs w:val="24"/>
        </w:rPr>
        <w:t xml:space="preserve">Cumulative tax and non-tax revenue collections for the first quarter of the year </w:t>
      </w:r>
      <w:r>
        <w:rPr>
          <w:rFonts w:ascii="Tahoma" w:hAnsi="Tahoma" w:cs="Tahoma"/>
          <w:sz w:val="24"/>
          <w:szCs w:val="24"/>
        </w:rPr>
        <w:t xml:space="preserve">outperformed targets by 8.2% to record </w:t>
      </w:r>
      <w:r w:rsidRPr="00972640">
        <w:rPr>
          <w:rFonts w:ascii="Tahoma" w:hAnsi="Tahoma" w:cs="Tahoma"/>
          <w:sz w:val="24"/>
          <w:szCs w:val="24"/>
        </w:rPr>
        <w:t>$1.9 billion, against a target of $1.8 billion, resulting in a positive performance of $146.0 million or 8.2%.</w:t>
      </w:r>
    </w:p>
    <w:p w:rsidR="00C4628D" w:rsidRDefault="00C4628D" w:rsidP="00C4628D">
      <w:pPr>
        <w:pStyle w:val="ListParagraph"/>
        <w:spacing w:after="0" w:line="240" w:lineRule="auto"/>
        <w:ind w:left="786"/>
        <w:jc w:val="both"/>
        <w:rPr>
          <w:rFonts w:ascii="Tahoma" w:hAnsi="Tahoma" w:cs="Tahoma"/>
          <w:b/>
          <w:sz w:val="24"/>
          <w:szCs w:val="24"/>
        </w:rPr>
      </w:pPr>
    </w:p>
    <w:p w:rsidR="00C4628D" w:rsidRPr="00C4628D" w:rsidRDefault="00C4628D" w:rsidP="00C4628D">
      <w:pPr>
        <w:pStyle w:val="ListParagraph"/>
        <w:spacing w:after="0" w:line="240" w:lineRule="auto"/>
        <w:ind w:left="786"/>
        <w:jc w:val="both"/>
        <w:rPr>
          <w:rFonts w:ascii="Tahoma" w:hAnsi="Tahoma" w:cs="Tahoma"/>
          <w:b/>
          <w:sz w:val="24"/>
          <w:szCs w:val="24"/>
        </w:rPr>
      </w:pPr>
      <w:r w:rsidRPr="00C4628D">
        <w:rPr>
          <w:rFonts w:ascii="Tahoma" w:hAnsi="Tahoma" w:cs="Tahoma"/>
          <w:b/>
          <w:sz w:val="24"/>
          <w:szCs w:val="24"/>
        </w:rPr>
        <w:t>Revenue ($ Million)</w:t>
      </w:r>
    </w:p>
    <w:tbl>
      <w:tblPr>
        <w:tblStyle w:val="GridTable4-Accent1"/>
        <w:tblpPr w:leftFromText="180" w:rightFromText="180" w:vertAnchor="text" w:horzAnchor="margin" w:tblpX="562" w:tblpY="219"/>
        <w:tblW w:w="8698" w:type="dxa"/>
        <w:tblLayout w:type="fixed"/>
        <w:tblLook w:val="04A0" w:firstRow="1" w:lastRow="0" w:firstColumn="1" w:lastColumn="0" w:noHBand="0" w:noVBand="1"/>
      </w:tblPr>
      <w:tblGrid>
        <w:gridCol w:w="3539"/>
        <w:gridCol w:w="1474"/>
        <w:gridCol w:w="1134"/>
        <w:gridCol w:w="2551"/>
      </w:tblGrid>
      <w:tr w:rsidR="00C4628D" w:rsidRPr="00FE712F" w:rsidTr="00C328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rsidR="00C4628D" w:rsidRDefault="00C4628D" w:rsidP="00C3288F">
            <w:pPr>
              <w:jc w:val="both"/>
              <w:rPr>
                <w:rFonts w:ascii="Tahoma" w:hAnsi="Tahoma" w:cs="Tahoma"/>
                <w:color w:val="000000"/>
              </w:rPr>
            </w:pPr>
            <w:r>
              <w:rPr>
                <w:rFonts w:ascii="Tahoma" w:hAnsi="Tahoma" w:cs="Tahoma"/>
                <w:b w:val="0"/>
                <w:bCs w:val="0"/>
                <w:color w:val="000000"/>
              </w:rPr>
              <w:t> </w:t>
            </w:r>
          </w:p>
        </w:tc>
        <w:tc>
          <w:tcPr>
            <w:tcW w:w="1474" w:type="dxa"/>
            <w:vAlign w:val="center"/>
          </w:tcPr>
          <w:p w:rsidR="00C4628D" w:rsidRPr="00A225E0" w:rsidRDefault="00C4628D" w:rsidP="00C3288F">
            <w:pPr>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color w:val="FFFFFF"/>
              </w:rPr>
            </w:pPr>
            <w:r w:rsidRPr="00A225E0">
              <w:rPr>
                <w:rFonts w:ascii="Tahoma" w:hAnsi="Tahoma" w:cs="Tahoma"/>
                <w:bCs w:val="0"/>
              </w:rPr>
              <w:t>Actual</w:t>
            </w:r>
          </w:p>
        </w:tc>
        <w:tc>
          <w:tcPr>
            <w:tcW w:w="1134" w:type="dxa"/>
            <w:vAlign w:val="center"/>
          </w:tcPr>
          <w:p w:rsidR="00C4628D" w:rsidRPr="00A225E0" w:rsidRDefault="00C4628D" w:rsidP="00C3288F">
            <w:pPr>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color w:val="FFFFFF"/>
              </w:rPr>
            </w:pPr>
            <w:r w:rsidRPr="00A225E0">
              <w:rPr>
                <w:rFonts w:ascii="Tahoma" w:hAnsi="Tahoma" w:cs="Tahoma"/>
                <w:bCs w:val="0"/>
              </w:rPr>
              <w:t>Target</w:t>
            </w:r>
          </w:p>
        </w:tc>
        <w:tc>
          <w:tcPr>
            <w:tcW w:w="2551" w:type="dxa"/>
            <w:vAlign w:val="center"/>
          </w:tcPr>
          <w:p w:rsidR="00C4628D" w:rsidRPr="00A225E0" w:rsidRDefault="00C4628D" w:rsidP="00C3288F">
            <w:pPr>
              <w:jc w:val="center"/>
              <w:cnfStyle w:val="100000000000" w:firstRow="1" w:lastRow="0" w:firstColumn="0" w:lastColumn="0" w:oddVBand="0" w:evenVBand="0" w:oddHBand="0" w:evenHBand="0" w:firstRowFirstColumn="0" w:firstRowLastColumn="0" w:lastRowFirstColumn="0" w:lastRowLastColumn="0"/>
              <w:rPr>
                <w:rFonts w:ascii="Tahoma" w:hAnsi="Tahoma" w:cs="Tahoma"/>
                <w:bCs w:val="0"/>
                <w:color w:val="FFFFFF"/>
              </w:rPr>
            </w:pPr>
            <w:r w:rsidRPr="00A225E0">
              <w:rPr>
                <w:rFonts w:ascii="Tahoma" w:hAnsi="Tahoma" w:cs="Tahoma"/>
                <w:bCs w:val="0"/>
              </w:rPr>
              <w:t>Variance (%)</w:t>
            </w:r>
          </w:p>
        </w:tc>
      </w:tr>
      <w:tr w:rsidR="00C4628D" w:rsidRPr="00FE712F" w:rsidTr="00C3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rsidR="00C4628D" w:rsidRPr="00A225E0" w:rsidRDefault="00C4628D" w:rsidP="00C3288F">
            <w:pPr>
              <w:jc w:val="both"/>
              <w:rPr>
                <w:rFonts w:ascii="Tahoma" w:hAnsi="Tahoma" w:cs="Tahoma"/>
                <w:bCs w:val="0"/>
                <w:color w:val="000000"/>
              </w:rPr>
            </w:pPr>
            <w:r w:rsidRPr="00A225E0">
              <w:rPr>
                <w:rFonts w:ascii="Tahoma" w:hAnsi="Tahoma" w:cs="Tahoma"/>
                <w:bCs w:val="0"/>
                <w:color w:val="000000"/>
              </w:rPr>
              <w:t>Total Revenue</w:t>
            </w:r>
          </w:p>
        </w:tc>
        <w:tc>
          <w:tcPr>
            <w:tcW w:w="1474" w:type="dxa"/>
            <w:vAlign w:val="center"/>
          </w:tcPr>
          <w:p w:rsidR="00C4628D" w:rsidRPr="00A51DD0" w:rsidRDefault="00C4628D" w:rsidP="00C3288F">
            <w:pPr>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000000"/>
              </w:rPr>
            </w:pPr>
            <w:r w:rsidRPr="00A51DD0">
              <w:rPr>
                <w:rFonts w:ascii="Tahoma" w:hAnsi="Tahoma" w:cs="Tahoma"/>
                <w:b/>
                <w:color w:val="000000"/>
              </w:rPr>
              <w:t>1926.6</w:t>
            </w:r>
          </w:p>
        </w:tc>
        <w:tc>
          <w:tcPr>
            <w:tcW w:w="1134" w:type="dxa"/>
            <w:vAlign w:val="center"/>
          </w:tcPr>
          <w:p w:rsidR="00C4628D" w:rsidRPr="00A51DD0" w:rsidRDefault="00C4628D" w:rsidP="00C3288F">
            <w:pPr>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000000"/>
              </w:rPr>
            </w:pPr>
            <w:r w:rsidRPr="00A51DD0">
              <w:rPr>
                <w:rFonts w:ascii="Tahoma" w:hAnsi="Tahoma" w:cs="Tahoma"/>
                <w:b/>
                <w:color w:val="000000"/>
              </w:rPr>
              <w:t>1780.6</w:t>
            </w:r>
          </w:p>
        </w:tc>
        <w:tc>
          <w:tcPr>
            <w:tcW w:w="2551" w:type="dxa"/>
            <w:vAlign w:val="center"/>
          </w:tcPr>
          <w:p w:rsidR="00C4628D" w:rsidRPr="00A51DD0" w:rsidRDefault="00C4628D" w:rsidP="00C3288F">
            <w:pPr>
              <w:jc w:val="center"/>
              <w:cnfStyle w:val="000000100000" w:firstRow="0" w:lastRow="0" w:firstColumn="0" w:lastColumn="0" w:oddVBand="0" w:evenVBand="0" w:oddHBand="1" w:evenHBand="0" w:firstRowFirstColumn="0" w:firstRowLastColumn="0" w:lastRowFirstColumn="0" w:lastRowLastColumn="0"/>
              <w:rPr>
                <w:rFonts w:ascii="Tahoma" w:hAnsi="Tahoma" w:cs="Tahoma"/>
                <w:b/>
                <w:color w:val="000000"/>
              </w:rPr>
            </w:pPr>
            <w:r w:rsidRPr="00A51DD0">
              <w:rPr>
                <w:rFonts w:ascii="Tahoma" w:hAnsi="Tahoma" w:cs="Tahoma"/>
                <w:b/>
                <w:color w:val="000000"/>
              </w:rPr>
              <w:t>8.2</w:t>
            </w:r>
          </w:p>
        </w:tc>
      </w:tr>
      <w:tr w:rsidR="00C4628D" w:rsidRPr="00FE712F" w:rsidTr="00C3288F">
        <w:tc>
          <w:tcPr>
            <w:cnfStyle w:val="001000000000" w:firstRow="0" w:lastRow="0" w:firstColumn="1" w:lastColumn="0" w:oddVBand="0" w:evenVBand="0" w:oddHBand="0" w:evenHBand="0" w:firstRowFirstColumn="0" w:firstRowLastColumn="0" w:lastRowFirstColumn="0" w:lastRowLastColumn="0"/>
            <w:tcW w:w="3539" w:type="dxa"/>
            <w:vAlign w:val="center"/>
          </w:tcPr>
          <w:p w:rsidR="00C4628D" w:rsidRPr="00A225E0" w:rsidRDefault="00C4628D" w:rsidP="00C3288F">
            <w:pPr>
              <w:jc w:val="both"/>
              <w:rPr>
                <w:rFonts w:ascii="Tahoma" w:hAnsi="Tahoma" w:cs="Tahoma"/>
                <w:b w:val="0"/>
                <w:color w:val="000000"/>
              </w:rPr>
            </w:pPr>
            <w:r w:rsidRPr="00A225E0">
              <w:rPr>
                <w:rFonts w:ascii="Tahoma" w:hAnsi="Tahoma" w:cs="Tahoma"/>
                <w:b w:val="0"/>
                <w:bCs w:val="0"/>
                <w:color w:val="000000"/>
              </w:rPr>
              <w:t>Tax Revenue</w:t>
            </w:r>
          </w:p>
        </w:tc>
        <w:tc>
          <w:tcPr>
            <w:tcW w:w="1474" w:type="dxa"/>
            <w:vAlign w:val="center"/>
          </w:tcPr>
          <w:p w:rsidR="00C4628D" w:rsidRDefault="00C4628D" w:rsidP="00C3288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1877.4</w:t>
            </w:r>
          </w:p>
        </w:tc>
        <w:tc>
          <w:tcPr>
            <w:tcW w:w="1134" w:type="dxa"/>
            <w:vAlign w:val="center"/>
          </w:tcPr>
          <w:p w:rsidR="00C4628D" w:rsidRDefault="00C4628D" w:rsidP="00C3288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1747.2</w:t>
            </w:r>
          </w:p>
        </w:tc>
        <w:tc>
          <w:tcPr>
            <w:tcW w:w="2551" w:type="dxa"/>
            <w:vAlign w:val="center"/>
          </w:tcPr>
          <w:p w:rsidR="00C4628D" w:rsidRDefault="00C4628D" w:rsidP="00C3288F">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rPr>
            </w:pPr>
            <w:r>
              <w:rPr>
                <w:rFonts w:ascii="Tahoma" w:hAnsi="Tahoma" w:cs="Tahoma"/>
                <w:color w:val="000000"/>
              </w:rPr>
              <w:t>7.5</w:t>
            </w:r>
          </w:p>
        </w:tc>
      </w:tr>
      <w:tr w:rsidR="00C4628D" w:rsidRPr="00FE712F" w:rsidTr="00C3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Align w:val="center"/>
          </w:tcPr>
          <w:p w:rsidR="00C4628D" w:rsidRPr="00A225E0" w:rsidRDefault="00C4628D" w:rsidP="00C3288F">
            <w:pPr>
              <w:jc w:val="both"/>
              <w:rPr>
                <w:rFonts w:ascii="Tahoma" w:hAnsi="Tahoma" w:cs="Tahoma"/>
                <w:b w:val="0"/>
                <w:color w:val="000000"/>
              </w:rPr>
            </w:pPr>
            <w:r w:rsidRPr="00A225E0">
              <w:rPr>
                <w:rFonts w:ascii="Tahoma" w:hAnsi="Tahoma" w:cs="Tahoma"/>
                <w:b w:val="0"/>
                <w:bCs w:val="0"/>
                <w:color w:val="000000"/>
              </w:rPr>
              <w:t>Non tax Revenue</w:t>
            </w:r>
          </w:p>
        </w:tc>
        <w:tc>
          <w:tcPr>
            <w:tcW w:w="1474" w:type="dxa"/>
            <w:vAlign w:val="center"/>
          </w:tcPr>
          <w:p w:rsidR="00C4628D" w:rsidRDefault="00C4628D" w:rsidP="00C3288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rPr>
            </w:pPr>
            <w:r>
              <w:rPr>
                <w:rFonts w:ascii="Tahoma" w:hAnsi="Tahoma" w:cs="Tahoma"/>
                <w:color w:val="000000"/>
              </w:rPr>
              <w:t>49.2</w:t>
            </w:r>
          </w:p>
        </w:tc>
        <w:tc>
          <w:tcPr>
            <w:tcW w:w="1134" w:type="dxa"/>
            <w:vAlign w:val="center"/>
          </w:tcPr>
          <w:p w:rsidR="00C4628D" w:rsidRDefault="00C4628D" w:rsidP="00C3288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rPr>
            </w:pPr>
            <w:r>
              <w:rPr>
                <w:rFonts w:ascii="Tahoma" w:hAnsi="Tahoma" w:cs="Tahoma"/>
                <w:color w:val="000000"/>
              </w:rPr>
              <w:t>33.4</w:t>
            </w:r>
          </w:p>
        </w:tc>
        <w:tc>
          <w:tcPr>
            <w:tcW w:w="2551" w:type="dxa"/>
            <w:vAlign w:val="center"/>
          </w:tcPr>
          <w:p w:rsidR="00C4628D" w:rsidRDefault="00C4628D" w:rsidP="00C3288F">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000000"/>
              </w:rPr>
            </w:pPr>
            <w:r>
              <w:rPr>
                <w:rFonts w:ascii="Tahoma" w:hAnsi="Tahoma" w:cs="Tahoma"/>
                <w:color w:val="000000"/>
              </w:rPr>
              <w:t>47.3</w:t>
            </w:r>
          </w:p>
        </w:tc>
      </w:tr>
    </w:tbl>
    <w:p w:rsidR="00C4628D" w:rsidRPr="00C4628D" w:rsidRDefault="00C4628D" w:rsidP="00C4628D">
      <w:pPr>
        <w:spacing w:line="360" w:lineRule="auto"/>
        <w:ind w:firstLine="567"/>
        <w:jc w:val="both"/>
        <w:rPr>
          <w:rFonts w:ascii="Tahoma" w:hAnsi="Tahoma" w:cs="Tahoma"/>
          <w:i/>
          <w:sz w:val="20"/>
          <w:szCs w:val="20"/>
        </w:rPr>
      </w:pPr>
      <w:r w:rsidRPr="00C4628D">
        <w:rPr>
          <w:rFonts w:ascii="Tahoma" w:hAnsi="Tahoma" w:cs="Tahoma"/>
          <w:i/>
          <w:sz w:val="20"/>
          <w:szCs w:val="20"/>
        </w:rPr>
        <w:t>Source: Ministry of Finance and Economic Development</w:t>
      </w:r>
    </w:p>
    <w:p w:rsidR="00C4628D" w:rsidRPr="00C4628D" w:rsidRDefault="00C4628D" w:rsidP="00C4628D">
      <w:pPr>
        <w:spacing w:line="360" w:lineRule="auto"/>
        <w:jc w:val="both"/>
        <w:rPr>
          <w:rFonts w:ascii="Tahoma" w:hAnsi="Tahoma" w:cs="Tahoma"/>
          <w:sz w:val="24"/>
          <w:szCs w:val="24"/>
        </w:rPr>
      </w:pPr>
    </w:p>
    <w:p w:rsidR="002D317A" w:rsidRDefault="002D317A" w:rsidP="002D317A">
      <w:pPr>
        <w:pStyle w:val="ListParagraph"/>
        <w:numPr>
          <w:ilvl w:val="0"/>
          <w:numId w:val="1"/>
        </w:numPr>
        <w:spacing w:after="160" w:line="360" w:lineRule="auto"/>
        <w:ind w:left="567" w:hanging="567"/>
        <w:jc w:val="both"/>
        <w:rPr>
          <w:rFonts w:ascii="Tahoma" w:hAnsi="Tahoma" w:cs="Tahoma"/>
          <w:sz w:val="24"/>
          <w:szCs w:val="24"/>
        </w:rPr>
      </w:pPr>
      <w:r w:rsidRPr="00972640">
        <w:rPr>
          <w:rFonts w:ascii="Tahoma" w:hAnsi="Tahoma" w:cs="Tahoma"/>
          <w:sz w:val="24"/>
          <w:szCs w:val="24"/>
        </w:rPr>
        <w:t xml:space="preserve">This performance represents 64.1% </w:t>
      </w:r>
      <w:r w:rsidR="00AD4679" w:rsidRPr="00972640">
        <w:rPr>
          <w:rFonts w:ascii="Tahoma" w:hAnsi="Tahoma" w:cs="Tahoma"/>
          <w:sz w:val="24"/>
          <w:szCs w:val="24"/>
        </w:rPr>
        <w:t xml:space="preserve">increase </w:t>
      </w:r>
      <w:r w:rsidRPr="00972640">
        <w:rPr>
          <w:rFonts w:ascii="Tahoma" w:hAnsi="Tahoma" w:cs="Tahoma"/>
          <w:sz w:val="24"/>
          <w:szCs w:val="24"/>
        </w:rPr>
        <w:t>from the collections of $1.2 billion recorded during the same period in 2018 and a 13.9% increase compared with the $1.7 billion collected in the fourth quarter of 2018.</w:t>
      </w:r>
    </w:p>
    <w:p w:rsidR="002D317A" w:rsidRPr="003E7B8E" w:rsidRDefault="002D317A" w:rsidP="002D317A">
      <w:pPr>
        <w:pStyle w:val="ListParagraph"/>
        <w:rPr>
          <w:rFonts w:ascii="Tahoma" w:hAnsi="Tahoma" w:cs="Tahoma"/>
          <w:sz w:val="24"/>
          <w:szCs w:val="24"/>
        </w:rPr>
      </w:pPr>
    </w:p>
    <w:p w:rsidR="0054265F" w:rsidRPr="0054265F" w:rsidRDefault="0054265F" w:rsidP="0054265F">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Among other measures, i</w:t>
      </w:r>
      <w:r w:rsidR="002D317A" w:rsidRPr="00972640">
        <w:rPr>
          <w:rFonts w:ascii="Tahoma" w:hAnsi="Tahoma" w:cs="Tahoma"/>
          <w:sz w:val="24"/>
          <w:szCs w:val="24"/>
        </w:rPr>
        <w:t xml:space="preserve">mproved tax revenues during the first quarter of 2019 was attributable to </w:t>
      </w:r>
      <w:r w:rsidR="002D317A">
        <w:rPr>
          <w:rFonts w:ascii="Tahoma" w:hAnsi="Tahoma" w:cs="Tahoma"/>
          <w:sz w:val="24"/>
          <w:szCs w:val="24"/>
        </w:rPr>
        <w:t>strengthening of ZIMRA collection systems</w:t>
      </w:r>
      <w:r>
        <w:rPr>
          <w:rFonts w:ascii="Tahoma" w:hAnsi="Tahoma" w:cs="Tahoma"/>
          <w:sz w:val="24"/>
          <w:szCs w:val="24"/>
        </w:rPr>
        <w:t>,</w:t>
      </w:r>
      <w:r w:rsidR="002D317A">
        <w:rPr>
          <w:rFonts w:ascii="Tahoma" w:hAnsi="Tahoma" w:cs="Tahoma"/>
          <w:sz w:val="24"/>
          <w:szCs w:val="24"/>
        </w:rPr>
        <w:t xml:space="preserve"> plugging of tax loopholes</w:t>
      </w:r>
      <w:r>
        <w:rPr>
          <w:rFonts w:ascii="Tahoma" w:hAnsi="Tahoma" w:cs="Tahoma"/>
          <w:sz w:val="24"/>
          <w:szCs w:val="24"/>
        </w:rPr>
        <w:t xml:space="preserve"> as well as </w:t>
      </w:r>
      <w:r w:rsidRPr="00C4628D">
        <w:rPr>
          <w:rFonts w:ascii="Tahoma" w:hAnsi="Tahoma" w:cs="Tahoma"/>
          <w:sz w:val="24"/>
          <w:szCs w:val="24"/>
        </w:rPr>
        <w:t>the review of excise duty from $0.45 to $2.31 per litre of petrol and from $0.40 to $2.05 per litre of diesel, which generated additional revenue of RTGS$146 million during the month of February.</w:t>
      </w:r>
    </w:p>
    <w:p w:rsidR="0054265F" w:rsidRPr="00C4628D" w:rsidRDefault="0054265F" w:rsidP="0054265F">
      <w:pPr>
        <w:pStyle w:val="ListParagraph"/>
        <w:spacing w:line="360" w:lineRule="auto"/>
        <w:ind w:left="567"/>
        <w:rPr>
          <w:rFonts w:ascii="Tahoma" w:hAnsi="Tahoma" w:cs="Tahoma"/>
          <w:sz w:val="24"/>
          <w:szCs w:val="24"/>
        </w:rPr>
      </w:pPr>
    </w:p>
    <w:p w:rsidR="0054265F" w:rsidRPr="00C4628D" w:rsidRDefault="0054265F" w:rsidP="00C4628D">
      <w:pPr>
        <w:pStyle w:val="ListParagraph"/>
        <w:numPr>
          <w:ilvl w:val="0"/>
          <w:numId w:val="1"/>
        </w:numPr>
        <w:spacing w:after="160" w:line="360" w:lineRule="auto"/>
        <w:ind w:left="567" w:hanging="567"/>
        <w:jc w:val="both"/>
        <w:rPr>
          <w:rFonts w:ascii="Tahoma" w:hAnsi="Tahoma" w:cs="Tahoma"/>
          <w:sz w:val="24"/>
          <w:szCs w:val="24"/>
        </w:rPr>
      </w:pPr>
      <w:r w:rsidRPr="00C4628D">
        <w:rPr>
          <w:rFonts w:ascii="Tahoma" w:hAnsi="Tahoma" w:cs="Tahoma"/>
          <w:sz w:val="24"/>
          <w:szCs w:val="24"/>
        </w:rPr>
        <w:t xml:space="preserve">The performance also benefitted from IMTT which generated monthly average revenue of RTGS$95 million against a target of RTGS$50 million. </w:t>
      </w:r>
    </w:p>
    <w:p w:rsidR="0054265F" w:rsidRPr="00C4628D" w:rsidRDefault="0054265F" w:rsidP="0054265F">
      <w:pPr>
        <w:pStyle w:val="ListParagraph"/>
        <w:rPr>
          <w:rFonts w:ascii="Tahoma" w:hAnsi="Tahoma" w:cs="Tahoma"/>
          <w:sz w:val="24"/>
          <w:szCs w:val="24"/>
        </w:rPr>
      </w:pPr>
    </w:p>
    <w:p w:rsidR="0054265F" w:rsidRPr="00C4628D" w:rsidRDefault="0054265F" w:rsidP="00C4628D">
      <w:pPr>
        <w:pStyle w:val="ListParagraph"/>
        <w:numPr>
          <w:ilvl w:val="0"/>
          <w:numId w:val="1"/>
        </w:numPr>
        <w:spacing w:after="160" w:line="360" w:lineRule="auto"/>
        <w:ind w:left="567" w:hanging="567"/>
        <w:jc w:val="both"/>
        <w:rPr>
          <w:rFonts w:ascii="Tahoma" w:hAnsi="Tahoma" w:cs="Tahoma"/>
          <w:sz w:val="24"/>
          <w:szCs w:val="24"/>
        </w:rPr>
      </w:pPr>
      <w:r w:rsidRPr="00C4628D">
        <w:rPr>
          <w:rFonts w:ascii="Tahoma" w:hAnsi="Tahoma" w:cs="Tahoma"/>
          <w:sz w:val="24"/>
          <w:szCs w:val="24"/>
        </w:rPr>
        <w:t>Compared to the previous year, the first quarter performance represent a 64.1% increase from the 2018 collections of $1.2 billion.</w:t>
      </w:r>
    </w:p>
    <w:p w:rsidR="0054265F" w:rsidRPr="00C4628D" w:rsidRDefault="0054265F" w:rsidP="00C4628D">
      <w:pPr>
        <w:rPr>
          <w:rFonts w:ascii="Tahoma" w:hAnsi="Tahoma" w:cs="Tahoma"/>
          <w:szCs w:val="24"/>
        </w:rPr>
      </w:pPr>
    </w:p>
    <w:p w:rsidR="0054265F" w:rsidRPr="002406A4" w:rsidRDefault="0054265F" w:rsidP="0054265F">
      <w:pPr>
        <w:ind w:firstLine="567"/>
        <w:rPr>
          <w:rFonts w:ascii="Tahoma" w:hAnsi="Tahoma" w:cs="Tahoma"/>
          <w:i/>
          <w:sz w:val="24"/>
          <w:szCs w:val="24"/>
        </w:rPr>
      </w:pPr>
      <w:r w:rsidRPr="002406A4">
        <w:rPr>
          <w:rFonts w:ascii="Tahoma" w:hAnsi="Tahoma" w:cs="Tahoma"/>
          <w:i/>
          <w:sz w:val="24"/>
          <w:szCs w:val="24"/>
        </w:rPr>
        <w:t>Revenue Performance: January to March 2019</w:t>
      </w:r>
    </w:p>
    <w:tbl>
      <w:tblPr>
        <w:tblStyle w:val="GridTable4-Accent53"/>
        <w:tblW w:w="8500" w:type="dxa"/>
        <w:tblLook w:val="04A0" w:firstRow="1" w:lastRow="0" w:firstColumn="1" w:lastColumn="0" w:noHBand="0" w:noVBand="1"/>
      </w:tblPr>
      <w:tblGrid>
        <w:gridCol w:w="2263"/>
        <w:gridCol w:w="1701"/>
        <w:gridCol w:w="1418"/>
        <w:gridCol w:w="1417"/>
        <w:gridCol w:w="1701"/>
      </w:tblGrid>
      <w:tr w:rsidR="0054265F" w:rsidRPr="00C95AC6" w:rsidTr="00C4628D">
        <w:trPr>
          <w:cnfStyle w:val="100000000000" w:firstRow="1" w:lastRow="0" w:firstColumn="0" w:lastColumn="0" w:oddVBand="0" w:evenVBand="0" w:oddHBand="0"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263" w:type="dxa"/>
            <w:noWrap/>
            <w:hideMark/>
          </w:tcPr>
          <w:p w:rsidR="0054265F" w:rsidRPr="00C95AC6" w:rsidRDefault="0054265F" w:rsidP="00C3288F">
            <w:pPr>
              <w:spacing w:after="0" w:line="240" w:lineRule="auto"/>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 </w:t>
            </w:r>
          </w:p>
        </w:tc>
        <w:tc>
          <w:tcPr>
            <w:tcW w:w="1701" w:type="dxa"/>
            <w:hideMark/>
          </w:tcPr>
          <w:p w:rsidR="0054265F" w:rsidRPr="00C95AC6" w:rsidRDefault="0054265F" w:rsidP="00C3288F">
            <w:pPr>
              <w:spacing w:after="0" w:line="240" w:lineRule="auto"/>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00"/>
                <w:sz w:val="20"/>
                <w:szCs w:val="20"/>
                <w:lang w:eastAsia="en-ZW"/>
              </w:rPr>
            </w:pPr>
            <w:r w:rsidRPr="00C95AC6">
              <w:rPr>
                <w:rFonts w:ascii="Tahoma" w:eastAsia="Times New Roman" w:hAnsi="Tahoma" w:cs="Tahoma"/>
                <w:color w:val="000000"/>
                <w:sz w:val="20"/>
                <w:szCs w:val="20"/>
                <w:lang w:eastAsia="en-ZW"/>
              </w:rPr>
              <w:t>Actual (Millions)</w:t>
            </w:r>
          </w:p>
        </w:tc>
        <w:tc>
          <w:tcPr>
            <w:tcW w:w="1418" w:type="dxa"/>
            <w:hideMark/>
          </w:tcPr>
          <w:p w:rsidR="0054265F" w:rsidRPr="00C95AC6" w:rsidRDefault="0054265F" w:rsidP="00C3288F">
            <w:pPr>
              <w:spacing w:after="0" w:line="240" w:lineRule="auto"/>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00"/>
                <w:sz w:val="20"/>
                <w:szCs w:val="20"/>
                <w:lang w:eastAsia="en-ZW"/>
              </w:rPr>
            </w:pPr>
            <w:r w:rsidRPr="00C95AC6">
              <w:rPr>
                <w:rFonts w:ascii="Tahoma" w:eastAsia="Times New Roman" w:hAnsi="Tahoma" w:cs="Tahoma"/>
                <w:color w:val="000000"/>
                <w:sz w:val="20"/>
                <w:szCs w:val="20"/>
                <w:lang w:eastAsia="en-ZW"/>
              </w:rPr>
              <w:t>Target (Millions)</w:t>
            </w:r>
          </w:p>
        </w:tc>
        <w:tc>
          <w:tcPr>
            <w:tcW w:w="1417" w:type="dxa"/>
            <w:hideMark/>
          </w:tcPr>
          <w:p w:rsidR="0054265F" w:rsidRPr="00C95AC6" w:rsidRDefault="0054265F" w:rsidP="00C3288F">
            <w:pPr>
              <w:spacing w:after="0" w:line="240" w:lineRule="auto"/>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00"/>
                <w:sz w:val="20"/>
                <w:szCs w:val="20"/>
                <w:lang w:eastAsia="en-ZW"/>
              </w:rPr>
            </w:pPr>
            <w:r w:rsidRPr="00C95AC6">
              <w:rPr>
                <w:rFonts w:ascii="Tahoma" w:eastAsia="Times New Roman" w:hAnsi="Tahoma" w:cs="Tahoma"/>
                <w:color w:val="000000"/>
                <w:sz w:val="20"/>
                <w:szCs w:val="20"/>
                <w:lang w:eastAsia="en-ZW"/>
              </w:rPr>
              <w:t>Variance (Millions)</w:t>
            </w:r>
          </w:p>
        </w:tc>
        <w:tc>
          <w:tcPr>
            <w:tcW w:w="1701" w:type="dxa"/>
            <w:hideMark/>
          </w:tcPr>
          <w:p w:rsidR="0054265F" w:rsidRPr="00C95AC6" w:rsidRDefault="0054265F" w:rsidP="00C3288F">
            <w:pPr>
              <w:spacing w:after="0" w:line="240" w:lineRule="auto"/>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b w:val="0"/>
                <w:bCs w:val="0"/>
                <w:color w:val="000000"/>
                <w:sz w:val="20"/>
                <w:szCs w:val="20"/>
                <w:lang w:eastAsia="en-ZW"/>
              </w:rPr>
            </w:pPr>
            <w:r w:rsidRPr="00C95AC6">
              <w:rPr>
                <w:rFonts w:ascii="Tahoma" w:eastAsia="Times New Roman" w:hAnsi="Tahoma" w:cs="Tahoma"/>
                <w:color w:val="000000"/>
                <w:sz w:val="20"/>
                <w:szCs w:val="20"/>
                <w:lang w:eastAsia="en-ZW"/>
              </w:rPr>
              <w:t>% Variance</w:t>
            </w:r>
          </w:p>
        </w:tc>
      </w:tr>
      <w:tr w:rsidR="0054265F" w:rsidRPr="00C95AC6" w:rsidTr="00C462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rsidR="0054265F" w:rsidRPr="00C4628D" w:rsidRDefault="0054265F" w:rsidP="00C3288F">
            <w:pPr>
              <w:spacing w:after="0" w:line="240" w:lineRule="auto"/>
              <w:rPr>
                <w:rFonts w:ascii="Tahoma" w:eastAsia="Times New Roman" w:hAnsi="Tahoma" w:cs="Tahoma"/>
                <w:b w:val="0"/>
                <w:color w:val="000000"/>
                <w:sz w:val="20"/>
                <w:szCs w:val="20"/>
                <w:lang w:eastAsia="en-ZW"/>
              </w:rPr>
            </w:pPr>
            <w:r w:rsidRPr="00C4628D">
              <w:rPr>
                <w:rFonts w:ascii="Tahoma" w:eastAsia="Times New Roman" w:hAnsi="Tahoma" w:cs="Tahoma"/>
                <w:b w:val="0"/>
                <w:color w:val="000000"/>
                <w:sz w:val="20"/>
                <w:szCs w:val="20"/>
                <w:lang w:eastAsia="en-ZW"/>
              </w:rPr>
              <w:t>PAYE</w:t>
            </w:r>
          </w:p>
        </w:tc>
        <w:tc>
          <w:tcPr>
            <w:tcW w:w="1701" w:type="dxa"/>
            <w:noWrap/>
            <w:hideMark/>
          </w:tcPr>
          <w:p w:rsidR="0054265F" w:rsidRPr="00C95AC6" w:rsidRDefault="0054265F" w:rsidP="00C328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230.20</w:t>
            </w:r>
          </w:p>
        </w:tc>
        <w:tc>
          <w:tcPr>
            <w:tcW w:w="1418" w:type="dxa"/>
            <w:noWrap/>
            <w:hideMark/>
          </w:tcPr>
          <w:p w:rsidR="0054265F" w:rsidRPr="00C95AC6" w:rsidRDefault="0054265F" w:rsidP="00C328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234.37</w:t>
            </w:r>
          </w:p>
        </w:tc>
        <w:tc>
          <w:tcPr>
            <w:tcW w:w="1417" w:type="dxa"/>
            <w:noWrap/>
            <w:hideMark/>
          </w:tcPr>
          <w:p w:rsidR="0054265F" w:rsidRPr="00C95AC6" w:rsidRDefault="0054265F" w:rsidP="00C328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(4.17)</w:t>
            </w:r>
          </w:p>
        </w:tc>
        <w:tc>
          <w:tcPr>
            <w:tcW w:w="1701" w:type="dxa"/>
            <w:noWrap/>
            <w:hideMark/>
          </w:tcPr>
          <w:p w:rsidR="0054265F" w:rsidRPr="00C95AC6" w:rsidRDefault="0054265F" w:rsidP="00C328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-1.8%</w:t>
            </w:r>
          </w:p>
        </w:tc>
      </w:tr>
      <w:tr w:rsidR="0054265F" w:rsidRPr="00C95AC6" w:rsidTr="00C4628D">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rsidR="0054265F" w:rsidRPr="00C4628D" w:rsidRDefault="0054265F" w:rsidP="00C3288F">
            <w:pPr>
              <w:spacing w:after="0" w:line="240" w:lineRule="auto"/>
              <w:rPr>
                <w:rFonts w:ascii="Tahoma" w:eastAsia="Times New Roman" w:hAnsi="Tahoma" w:cs="Tahoma"/>
                <w:b w:val="0"/>
                <w:color w:val="000000"/>
                <w:sz w:val="20"/>
                <w:szCs w:val="20"/>
                <w:lang w:eastAsia="en-ZW"/>
              </w:rPr>
            </w:pPr>
            <w:r w:rsidRPr="00C4628D">
              <w:rPr>
                <w:rFonts w:ascii="Tahoma" w:eastAsia="Times New Roman" w:hAnsi="Tahoma" w:cs="Tahoma"/>
                <w:b w:val="0"/>
                <w:color w:val="000000"/>
                <w:sz w:val="20"/>
                <w:szCs w:val="20"/>
                <w:lang w:eastAsia="en-ZW"/>
              </w:rPr>
              <w:t>Corporate Tax</w:t>
            </w:r>
          </w:p>
        </w:tc>
        <w:tc>
          <w:tcPr>
            <w:tcW w:w="1701" w:type="dxa"/>
            <w:noWrap/>
            <w:hideMark/>
          </w:tcPr>
          <w:p w:rsidR="0054265F" w:rsidRPr="00C95AC6" w:rsidRDefault="0054265F" w:rsidP="00C328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241.23</w:t>
            </w:r>
          </w:p>
        </w:tc>
        <w:tc>
          <w:tcPr>
            <w:tcW w:w="1418" w:type="dxa"/>
            <w:noWrap/>
            <w:hideMark/>
          </w:tcPr>
          <w:p w:rsidR="0054265F" w:rsidRPr="00C95AC6" w:rsidRDefault="0054265F" w:rsidP="00C328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221.38</w:t>
            </w:r>
          </w:p>
        </w:tc>
        <w:tc>
          <w:tcPr>
            <w:tcW w:w="1417" w:type="dxa"/>
            <w:noWrap/>
            <w:hideMark/>
          </w:tcPr>
          <w:p w:rsidR="0054265F" w:rsidRPr="00C95AC6" w:rsidRDefault="0054265F" w:rsidP="00C328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19.85</w:t>
            </w:r>
          </w:p>
        </w:tc>
        <w:tc>
          <w:tcPr>
            <w:tcW w:w="1701" w:type="dxa"/>
            <w:noWrap/>
            <w:hideMark/>
          </w:tcPr>
          <w:p w:rsidR="0054265F" w:rsidRPr="00C95AC6" w:rsidRDefault="0054265F" w:rsidP="00C328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9.0%</w:t>
            </w:r>
          </w:p>
        </w:tc>
      </w:tr>
      <w:tr w:rsidR="0054265F" w:rsidRPr="00C95AC6" w:rsidTr="00C462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rsidR="0054265F" w:rsidRPr="00C4628D" w:rsidRDefault="0054265F" w:rsidP="00C3288F">
            <w:pPr>
              <w:spacing w:after="0" w:line="240" w:lineRule="auto"/>
              <w:rPr>
                <w:rFonts w:ascii="Tahoma" w:eastAsia="Times New Roman" w:hAnsi="Tahoma" w:cs="Tahoma"/>
                <w:b w:val="0"/>
                <w:color w:val="000000"/>
                <w:sz w:val="20"/>
                <w:szCs w:val="20"/>
                <w:lang w:eastAsia="en-ZW"/>
              </w:rPr>
            </w:pPr>
            <w:r w:rsidRPr="00C4628D">
              <w:rPr>
                <w:rFonts w:ascii="Tahoma" w:eastAsia="Times New Roman" w:hAnsi="Tahoma" w:cs="Tahoma"/>
                <w:b w:val="0"/>
                <w:color w:val="000000"/>
                <w:sz w:val="20"/>
                <w:szCs w:val="20"/>
                <w:lang w:eastAsia="en-ZW"/>
              </w:rPr>
              <w:t>Other Direct Taxes</w:t>
            </w:r>
          </w:p>
        </w:tc>
        <w:tc>
          <w:tcPr>
            <w:tcW w:w="1701" w:type="dxa"/>
            <w:noWrap/>
            <w:hideMark/>
          </w:tcPr>
          <w:p w:rsidR="0054265F" w:rsidRPr="00C95AC6" w:rsidRDefault="0054265F" w:rsidP="00C328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63.26</w:t>
            </w:r>
          </w:p>
        </w:tc>
        <w:tc>
          <w:tcPr>
            <w:tcW w:w="1418" w:type="dxa"/>
            <w:noWrap/>
            <w:hideMark/>
          </w:tcPr>
          <w:p w:rsidR="0054265F" w:rsidRPr="00C95AC6" w:rsidRDefault="0054265F" w:rsidP="00C328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66.49</w:t>
            </w:r>
          </w:p>
        </w:tc>
        <w:tc>
          <w:tcPr>
            <w:tcW w:w="1417" w:type="dxa"/>
            <w:noWrap/>
            <w:hideMark/>
          </w:tcPr>
          <w:p w:rsidR="0054265F" w:rsidRPr="00C95AC6" w:rsidRDefault="0054265F" w:rsidP="00C328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(3.23)</w:t>
            </w:r>
          </w:p>
        </w:tc>
        <w:tc>
          <w:tcPr>
            <w:tcW w:w="1701" w:type="dxa"/>
            <w:noWrap/>
            <w:hideMark/>
          </w:tcPr>
          <w:p w:rsidR="0054265F" w:rsidRPr="00C95AC6" w:rsidRDefault="0054265F" w:rsidP="00C328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-4.9%</w:t>
            </w:r>
          </w:p>
        </w:tc>
      </w:tr>
      <w:tr w:rsidR="0054265F" w:rsidRPr="00C95AC6" w:rsidTr="00C4628D">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rsidR="0054265F" w:rsidRPr="00C4628D" w:rsidRDefault="0054265F" w:rsidP="00C3288F">
            <w:pPr>
              <w:spacing w:after="0" w:line="240" w:lineRule="auto"/>
              <w:rPr>
                <w:rFonts w:ascii="Tahoma" w:eastAsia="Times New Roman" w:hAnsi="Tahoma" w:cs="Tahoma"/>
                <w:b w:val="0"/>
                <w:color w:val="000000"/>
                <w:sz w:val="20"/>
                <w:szCs w:val="20"/>
                <w:lang w:eastAsia="en-ZW"/>
              </w:rPr>
            </w:pPr>
            <w:r w:rsidRPr="00C4628D">
              <w:rPr>
                <w:rFonts w:ascii="Tahoma" w:eastAsia="Times New Roman" w:hAnsi="Tahoma" w:cs="Tahoma"/>
                <w:b w:val="0"/>
                <w:color w:val="000000"/>
                <w:sz w:val="20"/>
                <w:szCs w:val="20"/>
                <w:lang w:eastAsia="en-ZW"/>
              </w:rPr>
              <w:t>Customs Duty</w:t>
            </w:r>
          </w:p>
        </w:tc>
        <w:tc>
          <w:tcPr>
            <w:tcW w:w="1701" w:type="dxa"/>
            <w:noWrap/>
            <w:hideMark/>
          </w:tcPr>
          <w:p w:rsidR="0054265F" w:rsidRPr="00C95AC6" w:rsidRDefault="0054265F" w:rsidP="00C328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90.97</w:t>
            </w:r>
          </w:p>
        </w:tc>
        <w:tc>
          <w:tcPr>
            <w:tcW w:w="1418" w:type="dxa"/>
            <w:noWrap/>
            <w:hideMark/>
          </w:tcPr>
          <w:p w:rsidR="0054265F" w:rsidRPr="00C95AC6" w:rsidRDefault="0054265F" w:rsidP="00C328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116.97</w:t>
            </w:r>
          </w:p>
        </w:tc>
        <w:tc>
          <w:tcPr>
            <w:tcW w:w="1417" w:type="dxa"/>
            <w:noWrap/>
            <w:hideMark/>
          </w:tcPr>
          <w:p w:rsidR="0054265F" w:rsidRPr="00C95AC6" w:rsidRDefault="0054265F" w:rsidP="00C328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(26.00)</w:t>
            </w:r>
          </w:p>
        </w:tc>
        <w:tc>
          <w:tcPr>
            <w:tcW w:w="1701" w:type="dxa"/>
            <w:noWrap/>
            <w:hideMark/>
          </w:tcPr>
          <w:p w:rsidR="0054265F" w:rsidRPr="00C95AC6" w:rsidRDefault="0054265F" w:rsidP="00C328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-22.2%</w:t>
            </w:r>
          </w:p>
        </w:tc>
      </w:tr>
      <w:tr w:rsidR="0054265F" w:rsidRPr="00C95AC6" w:rsidTr="00C462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rsidR="0054265F" w:rsidRPr="00C4628D" w:rsidRDefault="0054265F" w:rsidP="00C3288F">
            <w:pPr>
              <w:spacing w:after="0" w:line="240" w:lineRule="auto"/>
              <w:rPr>
                <w:rFonts w:ascii="Tahoma" w:eastAsia="Times New Roman" w:hAnsi="Tahoma" w:cs="Tahoma"/>
                <w:b w:val="0"/>
                <w:color w:val="000000"/>
                <w:sz w:val="20"/>
                <w:szCs w:val="20"/>
                <w:lang w:eastAsia="en-ZW"/>
              </w:rPr>
            </w:pPr>
            <w:r w:rsidRPr="00C4628D">
              <w:rPr>
                <w:rFonts w:ascii="Tahoma" w:eastAsia="Times New Roman" w:hAnsi="Tahoma" w:cs="Tahoma"/>
                <w:b w:val="0"/>
                <w:color w:val="000000"/>
                <w:sz w:val="20"/>
                <w:szCs w:val="20"/>
                <w:lang w:eastAsia="en-ZW"/>
              </w:rPr>
              <w:t>Excise Duty</w:t>
            </w:r>
          </w:p>
        </w:tc>
        <w:tc>
          <w:tcPr>
            <w:tcW w:w="1701" w:type="dxa"/>
            <w:noWrap/>
            <w:hideMark/>
          </w:tcPr>
          <w:p w:rsidR="0054265F" w:rsidRPr="00C95AC6" w:rsidRDefault="0054265F" w:rsidP="00C328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565.66</w:t>
            </w:r>
          </w:p>
        </w:tc>
        <w:tc>
          <w:tcPr>
            <w:tcW w:w="1418" w:type="dxa"/>
            <w:noWrap/>
            <w:hideMark/>
          </w:tcPr>
          <w:p w:rsidR="0054265F" w:rsidRPr="00C95AC6" w:rsidRDefault="0054265F" w:rsidP="00C328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396.59</w:t>
            </w:r>
          </w:p>
        </w:tc>
        <w:tc>
          <w:tcPr>
            <w:tcW w:w="1417" w:type="dxa"/>
            <w:noWrap/>
            <w:hideMark/>
          </w:tcPr>
          <w:p w:rsidR="0054265F" w:rsidRPr="00C95AC6" w:rsidRDefault="0054265F" w:rsidP="00C328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169.07</w:t>
            </w:r>
          </w:p>
        </w:tc>
        <w:tc>
          <w:tcPr>
            <w:tcW w:w="1701" w:type="dxa"/>
            <w:noWrap/>
            <w:hideMark/>
          </w:tcPr>
          <w:p w:rsidR="0054265F" w:rsidRPr="00C95AC6" w:rsidRDefault="0054265F" w:rsidP="00C328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42.6%</w:t>
            </w:r>
          </w:p>
        </w:tc>
      </w:tr>
      <w:tr w:rsidR="0054265F" w:rsidRPr="00C95AC6" w:rsidTr="00C4628D">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rsidR="0054265F" w:rsidRPr="00C4628D" w:rsidRDefault="0054265F" w:rsidP="00C3288F">
            <w:pPr>
              <w:spacing w:after="0" w:line="240" w:lineRule="auto"/>
              <w:rPr>
                <w:rFonts w:ascii="Tahoma" w:eastAsia="Times New Roman" w:hAnsi="Tahoma" w:cs="Tahoma"/>
                <w:b w:val="0"/>
                <w:color w:val="000000"/>
                <w:sz w:val="20"/>
                <w:szCs w:val="20"/>
                <w:lang w:eastAsia="en-ZW"/>
              </w:rPr>
            </w:pPr>
            <w:r w:rsidRPr="00C4628D">
              <w:rPr>
                <w:rFonts w:ascii="Tahoma" w:eastAsia="Times New Roman" w:hAnsi="Tahoma" w:cs="Tahoma"/>
                <w:b w:val="0"/>
                <w:color w:val="000000"/>
                <w:sz w:val="20"/>
                <w:szCs w:val="20"/>
                <w:lang w:eastAsia="en-ZW"/>
              </w:rPr>
              <w:t>Value Added Tax</w:t>
            </w:r>
          </w:p>
        </w:tc>
        <w:tc>
          <w:tcPr>
            <w:tcW w:w="1701" w:type="dxa"/>
            <w:noWrap/>
            <w:hideMark/>
          </w:tcPr>
          <w:p w:rsidR="0054265F" w:rsidRPr="00C95AC6" w:rsidRDefault="0054265F" w:rsidP="00C328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357.23</w:t>
            </w:r>
          </w:p>
        </w:tc>
        <w:tc>
          <w:tcPr>
            <w:tcW w:w="1418" w:type="dxa"/>
            <w:noWrap/>
            <w:hideMark/>
          </w:tcPr>
          <w:p w:rsidR="0054265F" w:rsidRPr="00C95AC6" w:rsidRDefault="0054265F" w:rsidP="00C328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466.13</w:t>
            </w:r>
          </w:p>
        </w:tc>
        <w:tc>
          <w:tcPr>
            <w:tcW w:w="1417" w:type="dxa"/>
            <w:noWrap/>
            <w:hideMark/>
          </w:tcPr>
          <w:p w:rsidR="0054265F" w:rsidRPr="00C95AC6" w:rsidRDefault="0054265F" w:rsidP="00C328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(108.89)</w:t>
            </w:r>
          </w:p>
        </w:tc>
        <w:tc>
          <w:tcPr>
            <w:tcW w:w="1701" w:type="dxa"/>
            <w:noWrap/>
            <w:hideMark/>
          </w:tcPr>
          <w:p w:rsidR="0054265F" w:rsidRPr="00C95AC6" w:rsidRDefault="0054265F" w:rsidP="00C328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-23.4%</w:t>
            </w:r>
          </w:p>
        </w:tc>
      </w:tr>
      <w:tr w:rsidR="0054265F" w:rsidRPr="00C95AC6" w:rsidTr="00C462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rsidR="0054265F" w:rsidRPr="00C4628D" w:rsidRDefault="0054265F" w:rsidP="00C3288F">
            <w:pPr>
              <w:spacing w:after="0" w:line="240" w:lineRule="auto"/>
              <w:rPr>
                <w:rFonts w:ascii="Tahoma" w:eastAsia="Times New Roman" w:hAnsi="Tahoma" w:cs="Tahoma"/>
                <w:b w:val="0"/>
                <w:color w:val="000000"/>
                <w:sz w:val="20"/>
                <w:szCs w:val="20"/>
                <w:lang w:eastAsia="en-ZW"/>
              </w:rPr>
            </w:pPr>
            <w:r w:rsidRPr="00C4628D">
              <w:rPr>
                <w:rFonts w:ascii="Tahoma" w:eastAsia="Times New Roman" w:hAnsi="Tahoma" w:cs="Tahoma"/>
                <w:b w:val="0"/>
                <w:color w:val="000000"/>
                <w:sz w:val="20"/>
                <w:szCs w:val="20"/>
                <w:lang w:eastAsia="en-ZW"/>
              </w:rPr>
              <w:t>Other Indirect Tax</w:t>
            </w:r>
          </w:p>
        </w:tc>
        <w:tc>
          <w:tcPr>
            <w:tcW w:w="1701" w:type="dxa"/>
            <w:noWrap/>
            <w:hideMark/>
          </w:tcPr>
          <w:p w:rsidR="0054265F" w:rsidRPr="00C95AC6" w:rsidRDefault="0054265F" w:rsidP="00C328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328.89</w:t>
            </w:r>
          </w:p>
        </w:tc>
        <w:tc>
          <w:tcPr>
            <w:tcW w:w="1418" w:type="dxa"/>
            <w:noWrap/>
            <w:hideMark/>
          </w:tcPr>
          <w:p w:rsidR="0054265F" w:rsidRPr="00C95AC6" w:rsidRDefault="0054265F" w:rsidP="00C328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245.26</w:t>
            </w:r>
          </w:p>
        </w:tc>
        <w:tc>
          <w:tcPr>
            <w:tcW w:w="1417" w:type="dxa"/>
            <w:noWrap/>
            <w:hideMark/>
          </w:tcPr>
          <w:p w:rsidR="0054265F" w:rsidRPr="00C95AC6" w:rsidRDefault="0054265F" w:rsidP="00C328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83.63</w:t>
            </w:r>
          </w:p>
        </w:tc>
        <w:tc>
          <w:tcPr>
            <w:tcW w:w="1701" w:type="dxa"/>
            <w:noWrap/>
            <w:hideMark/>
          </w:tcPr>
          <w:p w:rsidR="0054265F" w:rsidRPr="00C95AC6" w:rsidRDefault="0054265F" w:rsidP="00C3288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34.1%</w:t>
            </w:r>
          </w:p>
        </w:tc>
      </w:tr>
      <w:tr w:rsidR="0054265F" w:rsidRPr="00C95AC6" w:rsidTr="00C4628D">
        <w:trPr>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rsidR="0054265F" w:rsidRPr="00C4628D" w:rsidRDefault="0054265F" w:rsidP="00C3288F">
            <w:pPr>
              <w:spacing w:after="0" w:line="240" w:lineRule="auto"/>
              <w:rPr>
                <w:rFonts w:ascii="Tahoma" w:eastAsia="Times New Roman" w:hAnsi="Tahoma" w:cs="Tahoma"/>
                <w:b w:val="0"/>
                <w:color w:val="000000"/>
                <w:sz w:val="20"/>
                <w:szCs w:val="20"/>
                <w:lang w:eastAsia="en-ZW"/>
              </w:rPr>
            </w:pPr>
            <w:r w:rsidRPr="00C4628D">
              <w:rPr>
                <w:rFonts w:ascii="Tahoma" w:eastAsia="Times New Roman" w:hAnsi="Tahoma" w:cs="Tahoma"/>
                <w:b w:val="0"/>
                <w:color w:val="000000"/>
                <w:sz w:val="20"/>
                <w:szCs w:val="20"/>
                <w:lang w:eastAsia="en-ZW"/>
              </w:rPr>
              <w:t>Non- Tax revenue</w:t>
            </w:r>
          </w:p>
        </w:tc>
        <w:tc>
          <w:tcPr>
            <w:tcW w:w="1701" w:type="dxa"/>
            <w:noWrap/>
            <w:hideMark/>
          </w:tcPr>
          <w:p w:rsidR="0054265F" w:rsidRPr="00C95AC6" w:rsidRDefault="0054265F" w:rsidP="00C328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49.17</w:t>
            </w:r>
          </w:p>
        </w:tc>
        <w:tc>
          <w:tcPr>
            <w:tcW w:w="1418" w:type="dxa"/>
            <w:noWrap/>
            <w:hideMark/>
          </w:tcPr>
          <w:p w:rsidR="0054265F" w:rsidRPr="00C95AC6" w:rsidRDefault="0054265F" w:rsidP="00C328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33.38</w:t>
            </w:r>
          </w:p>
        </w:tc>
        <w:tc>
          <w:tcPr>
            <w:tcW w:w="1417" w:type="dxa"/>
            <w:noWrap/>
            <w:hideMark/>
          </w:tcPr>
          <w:p w:rsidR="0054265F" w:rsidRPr="00C95AC6" w:rsidRDefault="0054265F" w:rsidP="00C3288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15.78</w:t>
            </w:r>
          </w:p>
        </w:tc>
        <w:tc>
          <w:tcPr>
            <w:tcW w:w="1701" w:type="dxa"/>
            <w:noWrap/>
            <w:hideMark/>
          </w:tcPr>
          <w:p w:rsidR="0054265F" w:rsidRPr="00C95AC6" w:rsidRDefault="0054265F" w:rsidP="00C3288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000000"/>
                <w:sz w:val="20"/>
                <w:szCs w:val="20"/>
                <w:lang w:eastAsia="en-ZW"/>
              </w:rPr>
            </w:pPr>
            <w:r w:rsidRPr="00C95AC6">
              <w:rPr>
                <w:rFonts w:ascii="Tahoma" w:eastAsia="Times New Roman" w:hAnsi="Tahoma" w:cs="Tahoma"/>
                <w:color w:val="000000"/>
                <w:sz w:val="20"/>
                <w:szCs w:val="20"/>
                <w:lang w:eastAsia="en-ZW"/>
              </w:rPr>
              <w:t>47.3%</w:t>
            </w:r>
          </w:p>
        </w:tc>
      </w:tr>
      <w:tr w:rsidR="0054265F" w:rsidRPr="00C95AC6" w:rsidTr="00C4628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63" w:type="dxa"/>
            <w:noWrap/>
            <w:hideMark/>
          </w:tcPr>
          <w:p w:rsidR="0054265F" w:rsidRPr="00C95AC6" w:rsidRDefault="0054265F" w:rsidP="00C3288F">
            <w:pPr>
              <w:spacing w:after="0" w:line="240" w:lineRule="auto"/>
              <w:rPr>
                <w:rFonts w:ascii="Tahoma" w:eastAsia="Times New Roman" w:hAnsi="Tahoma" w:cs="Tahoma"/>
                <w:b w:val="0"/>
                <w:bCs w:val="0"/>
                <w:color w:val="000000"/>
                <w:sz w:val="20"/>
                <w:szCs w:val="20"/>
                <w:lang w:eastAsia="en-ZW"/>
              </w:rPr>
            </w:pPr>
            <w:r w:rsidRPr="00C95AC6">
              <w:rPr>
                <w:rFonts w:ascii="Tahoma" w:eastAsia="Times New Roman" w:hAnsi="Tahoma" w:cs="Tahoma"/>
                <w:color w:val="000000"/>
                <w:sz w:val="20"/>
                <w:szCs w:val="20"/>
                <w:lang w:eastAsia="en-ZW"/>
              </w:rPr>
              <w:t>Total Revenue</w:t>
            </w:r>
          </w:p>
        </w:tc>
        <w:tc>
          <w:tcPr>
            <w:tcW w:w="1701" w:type="dxa"/>
            <w:noWrap/>
            <w:hideMark/>
          </w:tcPr>
          <w:p w:rsidR="0054265F" w:rsidRPr="00C95AC6" w:rsidRDefault="0054265F" w:rsidP="00C328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20"/>
                <w:szCs w:val="20"/>
                <w:lang w:eastAsia="en-ZW"/>
              </w:rPr>
            </w:pPr>
            <w:r w:rsidRPr="00C95AC6">
              <w:rPr>
                <w:rFonts w:ascii="Tahoma" w:eastAsia="Times New Roman" w:hAnsi="Tahoma" w:cs="Tahoma"/>
                <w:b/>
                <w:bCs/>
                <w:color w:val="000000"/>
                <w:sz w:val="20"/>
                <w:szCs w:val="20"/>
                <w:lang w:eastAsia="en-ZW"/>
              </w:rPr>
              <w:t>1,926.60</w:t>
            </w:r>
          </w:p>
        </w:tc>
        <w:tc>
          <w:tcPr>
            <w:tcW w:w="1418" w:type="dxa"/>
            <w:noWrap/>
            <w:hideMark/>
          </w:tcPr>
          <w:p w:rsidR="0054265F" w:rsidRPr="00C95AC6" w:rsidRDefault="0054265F" w:rsidP="00C328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20"/>
                <w:szCs w:val="20"/>
                <w:lang w:eastAsia="en-ZW"/>
              </w:rPr>
            </w:pPr>
            <w:r w:rsidRPr="00C95AC6">
              <w:rPr>
                <w:rFonts w:ascii="Tahoma" w:eastAsia="Times New Roman" w:hAnsi="Tahoma" w:cs="Tahoma"/>
                <w:b/>
                <w:bCs/>
                <w:color w:val="000000"/>
                <w:sz w:val="20"/>
                <w:szCs w:val="20"/>
                <w:lang w:eastAsia="en-ZW"/>
              </w:rPr>
              <w:t>1,780.56</w:t>
            </w:r>
          </w:p>
        </w:tc>
        <w:tc>
          <w:tcPr>
            <w:tcW w:w="1417" w:type="dxa"/>
            <w:noWrap/>
            <w:hideMark/>
          </w:tcPr>
          <w:p w:rsidR="0054265F" w:rsidRPr="00C95AC6" w:rsidRDefault="0054265F" w:rsidP="00C328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20"/>
                <w:szCs w:val="20"/>
                <w:lang w:eastAsia="en-ZW"/>
              </w:rPr>
            </w:pPr>
            <w:r w:rsidRPr="00C95AC6">
              <w:rPr>
                <w:rFonts w:ascii="Tahoma" w:eastAsia="Times New Roman" w:hAnsi="Tahoma" w:cs="Tahoma"/>
                <w:b/>
                <w:bCs/>
                <w:color w:val="000000"/>
                <w:sz w:val="20"/>
                <w:szCs w:val="20"/>
                <w:lang w:eastAsia="en-ZW"/>
              </w:rPr>
              <w:t>146.04</w:t>
            </w:r>
          </w:p>
        </w:tc>
        <w:tc>
          <w:tcPr>
            <w:tcW w:w="1701" w:type="dxa"/>
            <w:noWrap/>
            <w:hideMark/>
          </w:tcPr>
          <w:p w:rsidR="0054265F" w:rsidRPr="00C95AC6" w:rsidRDefault="0054265F" w:rsidP="00C3288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color w:val="000000"/>
                <w:sz w:val="20"/>
                <w:szCs w:val="20"/>
                <w:lang w:eastAsia="en-ZW"/>
              </w:rPr>
            </w:pPr>
            <w:r w:rsidRPr="00C95AC6">
              <w:rPr>
                <w:rFonts w:ascii="Tahoma" w:eastAsia="Times New Roman" w:hAnsi="Tahoma" w:cs="Tahoma"/>
                <w:b/>
                <w:bCs/>
                <w:color w:val="000000"/>
                <w:sz w:val="20"/>
                <w:szCs w:val="20"/>
                <w:lang w:eastAsia="en-ZW"/>
              </w:rPr>
              <w:t>8.2%</w:t>
            </w:r>
          </w:p>
        </w:tc>
      </w:tr>
    </w:tbl>
    <w:p w:rsidR="002D317A" w:rsidRPr="00972640" w:rsidRDefault="002D317A" w:rsidP="002D317A">
      <w:pPr>
        <w:pStyle w:val="ListParagraph"/>
        <w:spacing w:after="0" w:line="360" w:lineRule="auto"/>
        <w:ind w:left="0"/>
        <w:jc w:val="both"/>
        <w:rPr>
          <w:rFonts w:ascii="Tahoma" w:hAnsi="Tahoma" w:cs="Tahoma"/>
          <w:sz w:val="24"/>
          <w:szCs w:val="24"/>
        </w:rPr>
      </w:pPr>
    </w:p>
    <w:p w:rsidR="002D317A" w:rsidRDefault="002D317A" w:rsidP="002D317A">
      <w:pPr>
        <w:pStyle w:val="ListParagraph"/>
        <w:numPr>
          <w:ilvl w:val="0"/>
          <w:numId w:val="1"/>
        </w:numPr>
        <w:spacing w:after="160" w:line="360" w:lineRule="auto"/>
        <w:ind w:left="567" w:hanging="567"/>
        <w:jc w:val="both"/>
        <w:rPr>
          <w:rFonts w:ascii="Tahoma" w:hAnsi="Tahoma" w:cs="Tahoma"/>
          <w:sz w:val="24"/>
          <w:szCs w:val="24"/>
        </w:rPr>
      </w:pPr>
      <w:r w:rsidRPr="00972640">
        <w:rPr>
          <w:rFonts w:ascii="Tahoma" w:hAnsi="Tahoma" w:cs="Tahoma"/>
          <w:sz w:val="24"/>
          <w:szCs w:val="24"/>
        </w:rPr>
        <w:t>Proportionally, tax revenue continues to account for the greater percentage of total revenues at 97.4% of total revenues, while n</w:t>
      </w:r>
      <w:r>
        <w:rPr>
          <w:rFonts w:ascii="Tahoma" w:hAnsi="Tahoma" w:cs="Tahoma"/>
          <w:sz w:val="24"/>
          <w:szCs w:val="24"/>
        </w:rPr>
        <w:t xml:space="preserve">on-tax revenue at </w:t>
      </w:r>
      <w:r w:rsidRPr="003E7B8E">
        <w:rPr>
          <w:rFonts w:ascii="Tahoma" w:hAnsi="Tahoma" w:cs="Tahoma"/>
          <w:sz w:val="24"/>
          <w:szCs w:val="24"/>
        </w:rPr>
        <w:t>$49.2 million</w:t>
      </w:r>
      <w:r>
        <w:rPr>
          <w:rFonts w:ascii="Tahoma" w:hAnsi="Tahoma" w:cs="Tahoma"/>
          <w:sz w:val="24"/>
          <w:szCs w:val="24"/>
        </w:rPr>
        <w:t>,</w:t>
      </w:r>
      <w:r w:rsidRPr="003E7B8E">
        <w:rPr>
          <w:rFonts w:ascii="Tahoma" w:hAnsi="Tahoma" w:cs="Tahoma"/>
          <w:sz w:val="24"/>
          <w:szCs w:val="24"/>
        </w:rPr>
        <w:t xml:space="preserve"> </w:t>
      </w:r>
      <w:r>
        <w:rPr>
          <w:rFonts w:ascii="Tahoma" w:hAnsi="Tahoma" w:cs="Tahoma"/>
          <w:sz w:val="24"/>
          <w:szCs w:val="24"/>
        </w:rPr>
        <w:t>contributed 2.6%</w:t>
      </w:r>
      <w:r w:rsidR="00AC716B">
        <w:rPr>
          <w:rFonts w:ascii="Tahoma" w:hAnsi="Tahoma" w:cs="Tahoma"/>
          <w:sz w:val="24"/>
          <w:szCs w:val="24"/>
        </w:rPr>
        <w:t xml:space="preserve">. </w:t>
      </w:r>
    </w:p>
    <w:p w:rsidR="00927493" w:rsidRPr="00927493" w:rsidRDefault="00927493" w:rsidP="00927493">
      <w:pPr>
        <w:pStyle w:val="ListParagraph"/>
        <w:rPr>
          <w:rFonts w:ascii="Tahoma" w:hAnsi="Tahoma" w:cs="Tahoma"/>
          <w:sz w:val="24"/>
          <w:szCs w:val="24"/>
        </w:rPr>
      </w:pPr>
    </w:p>
    <w:p w:rsidR="00C4628D" w:rsidRPr="00C4628D" w:rsidRDefault="00927493" w:rsidP="00C4628D">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lastRenderedPageBreak/>
        <w:t>The positive performance in revenues continued into</w:t>
      </w:r>
      <w:r w:rsidRPr="00927493">
        <w:rPr>
          <w:rFonts w:ascii="Tahoma" w:hAnsi="Tahoma" w:cs="Tahoma"/>
          <w:sz w:val="24"/>
          <w:szCs w:val="24"/>
        </w:rPr>
        <w:t xml:space="preserve"> April 2019, </w:t>
      </w:r>
      <w:r>
        <w:rPr>
          <w:rFonts w:ascii="Tahoma" w:hAnsi="Tahoma" w:cs="Tahoma"/>
          <w:sz w:val="24"/>
          <w:szCs w:val="24"/>
        </w:rPr>
        <w:t xml:space="preserve">with </w:t>
      </w:r>
      <w:r w:rsidRPr="00927493">
        <w:rPr>
          <w:rFonts w:ascii="Tahoma" w:hAnsi="Tahoma" w:cs="Tahoma"/>
          <w:sz w:val="24"/>
          <w:szCs w:val="24"/>
        </w:rPr>
        <w:t xml:space="preserve">revenues of RTGS$846.8 million </w:t>
      </w:r>
      <w:r>
        <w:rPr>
          <w:rFonts w:ascii="Tahoma" w:hAnsi="Tahoma" w:cs="Tahoma"/>
          <w:sz w:val="24"/>
          <w:szCs w:val="24"/>
        </w:rPr>
        <w:t xml:space="preserve">being </w:t>
      </w:r>
      <w:r w:rsidRPr="00927493">
        <w:rPr>
          <w:rFonts w:ascii="Tahoma" w:hAnsi="Tahoma" w:cs="Tahoma"/>
          <w:sz w:val="24"/>
          <w:szCs w:val="24"/>
        </w:rPr>
        <w:t>realised against a target of RTGS$</w:t>
      </w:r>
      <w:r>
        <w:rPr>
          <w:rFonts w:ascii="Tahoma" w:hAnsi="Tahoma" w:cs="Tahoma"/>
          <w:sz w:val="24"/>
          <w:szCs w:val="24"/>
        </w:rPr>
        <w:t>731.9 million.</w:t>
      </w:r>
      <w:r w:rsidR="00C4628D">
        <w:rPr>
          <w:rFonts w:ascii="Tahoma" w:hAnsi="Tahoma" w:cs="Tahoma"/>
          <w:sz w:val="24"/>
          <w:szCs w:val="24"/>
        </w:rPr>
        <w:t xml:space="preserve"> </w:t>
      </w:r>
      <w:r w:rsidR="00C4628D" w:rsidRPr="00C4628D">
        <w:rPr>
          <w:rFonts w:ascii="Tahoma" w:hAnsi="Tahoma" w:cs="Tahoma"/>
          <w:sz w:val="24"/>
          <w:szCs w:val="24"/>
        </w:rPr>
        <w:t>In the outlook</w:t>
      </w:r>
      <w:r w:rsidR="00C4628D">
        <w:rPr>
          <w:rFonts w:ascii="Tahoma" w:hAnsi="Tahoma" w:cs="Tahoma"/>
          <w:sz w:val="24"/>
          <w:szCs w:val="24"/>
        </w:rPr>
        <w:t>,</w:t>
      </w:r>
      <w:r w:rsidR="00C4628D" w:rsidRPr="00C4628D">
        <w:rPr>
          <w:rFonts w:ascii="Tahoma" w:hAnsi="Tahoma" w:cs="Tahoma"/>
          <w:sz w:val="24"/>
          <w:szCs w:val="24"/>
        </w:rPr>
        <w:t xml:space="preserve"> revenues are projected at RTGS 9.3 billion </w:t>
      </w:r>
      <w:r w:rsidR="00C4628D">
        <w:rPr>
          <w:rFonts w:ascii="Tahoma" w:hAnsi="Tahoma" w:cs="Tahoma"/>
          <w:sz w:val="24"/>
          <w:szCs w:val="24"/>
        </w:rPr>
        <w:t>by</w:t>
      </w:r>
      <w:r w:rsidR="00C4628D" w:rsidRPr="00C4628D">
        <w:rPr>
          <w:rFonts w:ascii="Tahoma" w:hAnsi="Tahoma" w:cs="Tahoma"/>
          <w:sz w:val="24"/>
          <w:szCs w:val="24"/>
        </w:rPr>
        <w:t xml:space="preserve"> end of the year.</w:t>
      </w:r>
    </w:p>
    <w:p w:rsidR="002D317A" w:rsidRPr="00972640" w:rsidRDefault="002D317A" w:rsidP="002D317A">
      <w:pPr>
        <w:pStyle w:val="ListParagraph"/>
        <w:spacing w:after="0" w:line="360" w:lineRule="auto"/>
        <w:ind w:left="0"/>
        <w:jc w:val="both"/>
        <w:rPr>
          <w:rFonts w:ascii="Tahoma" w:hAnsi="Tahoma" w:cs="Tahoma"/>
          <w:sz w:val="24"/>
          <w:szCs w:val="24"/>
        </w:rPr>
      </w:pPr>
      <w:bookmarkStart w:id="18" w:name="_Toc509561184"/>
    </w:p>
    <w:p w:rsidR="002D317A" w:rsidRPr="00EB2531" w:rsidRDefault="002D317A" w:rsidP="002D317A">
      <w:pPr>
        <w:pStyle w:val="Heading2"/>
        <w:ind w:firstLine="720"/>
        <w:jc w:val="both"/>
        <w:rPr>
          <w:i/>
          <w:sz w:val="24"/>
          <w:szCs w:val="24"/>
        </w:rPr>
      </w:pPr>
      <w:bookmarkStart w:id="19" w:name="_Toc517361604"/>
      <w:bookmarkStart w:id="20" w:name="_Toc500385666"/>
      <w:bookmarkStart w:id="21" w:name="_Toc509561185"/>
      <w:bookmarkStart w:id="22" w:name="_Toc8301944"/>
      <w:bookmarkEnd w:id="18"/>
      <w:r w:rsidRPr="00EB2531">
        <w:rPr>
          <w:i/>
          <w:sz w:val="24"/>
          <w:szCs w:val="24"/>
        </w:rPr>
        <w:t>Expenditure</w:t>
      </w:r>
      <w:bookmarkEnd w:id="19"/>
      <w:bookmarkEnd w:id="20"/>
      <w:bookmarkEnd w:id="21"/>
      <w:bookmarkEnd w:id="22"/>
    </w:p>
    <w:p w:rsidR="002D317A" w:rsidRPr="001473F3" w:rsidRDefault="002D317A" w:rsidP="002D317A">
      <w:pPr>
        <w:tabs>
          <w:tab w:val="left" w:pos="180"/>
        </w:tabs>
        <w:spacing w:line="360" w:lineRule="auto"/>
        <w:jc w:val="both"/>
        <w:rPr>
          <w:rFonts w:ascii="Tahoma" w:hAnsi="Tahoma" w:cs="Tahoma"/>
          <w:sz w:val="28"/>
          <w:szCs w:val="28"/>
        </w:rPr>
      </w:pPr>
    </w:p>
    <w:p w:rsidR="002D317A" w:rsidRPr="008C698B" w:rsidRDefault="002D317A" w:rsidP="002D317A">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 xml:space="preserve">Between January and March, </w:t>
      </w:r>
      <w:r w:rsidRPr="008C698B">
        <w:rPr>
          <w:rFonts w:ascii="Tahoma" w:hAnsi="Tahoma" w:cs="Tahoma"/>
          <w:sz w:val="24"/>
          <w:szCs w:val="24"/>
        </w:rPr>
        <w:t>expenditures</w:t>
      </w:r>
      <w:r>
        <w:rPr>
          <w:rFonts w:ascii="Tahoma" w:hAnsi="Tahoma" w:cs="Tahoma"/>
          <w:sz w:val="24"/>
          <w:szCs w:val="24"/>
        </w:rPr>
        <w:t xml:space="preserve"> were managed and reined </w:t>
      </w:r>
      <w:r w:rsidRPr="008C698B">
        <w:rPr>
          <w:rFonts w:ascii="Tahoma" w:hAnsi="Tahoma" w:cs="Tahoma"/>
          <w:sz w:val="24"/>
          <w:szCs w:val="24"/>
        </w:rPr>
        <w:t xml:space="preserve">to $1.5 billion, against planned </w:t>
      </w:r>
      <w:r>
        <w:rPr>
          <w:rFonts w:ascii="Tahoma" w:hAnsi="Tahoma" w:cs="Tahoma"/>
          <w:sz w:val="24"/>
          <w:szCs w:val="24"/>
        </w:rPr>
        <w:t xml:space="preserve">spending of </w:t>
      </w:r>
      <w:r w:rsidRPr="008C698B">
        <w:rPr>
          <w:rFonts w:ascii="Tahoma" w:hAnsi="Tahoma" w:cs="Tahoma"/>
          <w:sz w:val="24"/>
          <w:szCs w:val="24"/>
        </w:rPr>
        <w:t>$1.7 billion</w:t>
      </w:r>
      <w:r>
        <w:rPr>
          <w:rFonts w:ascii="Tahoma" w:hAnsi="Tahoma" w:cs="Tahoma"/>
          <w:sz w:val="24"/>
          <w:szCs w:val="24"/>
        </w:rPr>
        <w:t xml:space="preserve">, to give savings of </w:t>
      </w:r>
      <w:r w:rsidRPr="008C698B">
        <w:rPr>
          <w:rFonts w:ascii="Tahoma" w:hAnsi="Tahoma" w:cs="Tahoma"/>
          <w:sz w:val="24"/>
          <w:szCs w:val="24"/>
        </w:rPr>
        <w:t>$218.9 million</w:t>
      </w:r>
      <w:r w:rsidR="00AC716B">
        <w:rPr>
          <w:rFonts w:ascii="Tahoma" w:hAnsi="Tahoma" w:cs="Tahoma"/>
          <w:sz w:val="24"/>
          <w:szCs w:val="24"/>
        </w:rPr>
        <w:t>, from reduced outlays towards operations and maintenance as well as delayed expenditures on capital programmes</w:t>
      </w:r>
      <w:r w:rsidRPr="008C698B">
        <w:rPr>
          <w:rFonts w:ascii="Tahoma" w:hAnsi="Tahoma" w:cs="Tahoma"/>
          <w:sz w:val="24"/>
          <w:szCs w:val="24"/>
        </w:rPr>
        <w:t>.</w:t>
      </w:r>
    </w:p>
    <w:p w:rsidR="002D317A" w:rsidRPr="000959AD" w:rsidRDefault="002D317A" w:rsidP="002D317A">
      <w:pPr>
        <w:pStyle w:val="ListParagraph"/>
        <w:spacing w:after="0" w:line="360" w:lineRule="auto"/>
        <w:ind w:left="0"/>
        <w:jc w:val="both"/>
        <w:rPr>
          <w:rFonts w:ascii="Tahoma" w:hAnsi="Tahoma" w:cs="Tahoma"/>
          <w:sz w:val="28"/>
          <w:szCs w:val="28"/>
        </w:rPr>
      </w:pPr>
    </w:p>
    <w:p w:rsidR="00A0497C" w:rsidRDefault="00A0497C" w:rsidP="00A0497C">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 xml:space="preserve">Major expenditures were on employment costs at $1.015 billion, </w:t>
      </w:r>
      <w:r w:rsidRPr="008C698B">
        <w:rPr>
          <w:rFonts w:ascii="Tahoma" w:hAnsi="Tahoma" w:cs="Tahoma"/>
          <w:sz w:val="24"/>
          <w:szCs w:val="24"/>
        </w:rPr>
        <w:t xml:space="preserve">Operations &amp; Maintenance </w:t>
      </w:r>
      <w:r>
        <w:rPr>
          <w:rFonts w:ascii="Tahoma" w:hAnsi="Tahoma" w:cs="Tahoma"/>
          <w:sz w:val="24"/>
          <w:szCs w:val="24"/>
        </w:rPr>
        <w:t xml:space="preserve">($185.6 million), interest $93.3 million and capital projects $174.8 million. </w:t>
      </w:r>
    </w:p>
    <w:p w:rsidR="00A0497C" w:rsidRPr="00AB2010" w:rsidRDefault="00A0497C" w:rsidP="00A0497C">
      <w:pPr>
        <w:pStyle w:val="ListParagraph"/>
        <w:rPr>
          <w:rFonts w:ascii="Tahoma" w:hAnsi="Tahoma" w:cs="Tahoma"/>
          <w:sz w:val="24"/>
          <w:szCs w:val="24"/>
        </w:rPr>
      </w:pPr>
    </w:p>
    <w:p w:rsidR="00A0497C" w:rsidRPr="00530126" w:rsidRDefault="00A0497C" w:rsidP="0082751B">
      <w:pPr>
        <w:spacing w:after="0" w:line="360" w:lineRule="auto"/>
        <w:ind w:firstLine="567"/>
        <w:jc w:val="both"/>
        <w:rPr>
          <w:rFonts w:ascii="Tahoma" w:hAnsi="Tahoma" w:cs="Tahoma"/>
          <w:b/>
          <w:sz w:val="24"/>
          <w:szCs w:val="24"/>
        </w:rPr>
      </w:pPr>
      <w:r w:rsidRPr="00530126">
        <w:rPr>
          <w:rFonts w:ascii="Tahoma" w:hAnsi="Tahoma" w:cs="Tahoma"/>
          <w:b/>
          <w:sz w:val="24"/>
          <w:szCs w:val="24"/>
        </w:rPr>
        <w:t>Expenditure ($ Million)</w:t>
      </w:r>
    </w:p>
    <w:tbl>
      <w:tblPr>
        <w:tblStyle w:val="GridTable4-Accent1"/>
        <w:tblW w:w="4714" w:type="pct"/>
        <w:tblInd w:w="562" w:type="dxa"/>
        <w:tblLook w:val="04A0" w:firstRow="1" w:lastRow="0" w:firstColumn="1" w:lastColumn="0" w:noHBand="0" w:noVBand="1"/>
      </w:tblPr>
      <w:tblGrid>
        <w:gridCol w:w="4964"/>
        <w:gridCol w:w="1077"/>
        <w:gridCol w:w="1082"/>
        <w:gridCol w:w="1692"/>
      </w:tblGrid>
      <w:tr w:rsidR="00A0497C" w:rsidRPr="00530126" w:rsidTr="0082751B">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814" w:type="pct"/>
          </w:tcPr>
          <w:p w:rsidR="00A0497C" w:rsidRPr="00530126" w:rsidRDefault="00A0497C" w:rsidP="0082751B">
            <w:pPr>
              <w:spacing w:after="0" w:line="360" w:lineRule="auto"/>
              <w:jc w:val="both"/>
              <w:rPr>
                <w:rFonts w:ascii="Tahoma" w:hAnsi="Tahoma" w:cs="Tahoma"/>
                <w:sz w:val="20"/>
                <w:szCs w:val="20"/>
              </w:rPr>
            </w:pPr>
          </w:p>
        </w:tc>
        <w:tc>
          <w:tcPr>
            <w:tcW w:w="611" w:type="pct"/>
          </w:tcPr>
          <w:p w:rsidR="00A0497C" w:rsidRPr="00530126" w:rsidRDefault="00A0497C" w:rsidP="0082751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530126">
              <w:rPr>
                <w:rFonts w:ascii="Tahoma" w:hAnsi="Tahoma" w:cs="Tahoma"/>
                <w:sz w:val="20"/>
                <w:szCs w:val="20"/>
              </w:rPr>
              <w:t>Actual</w:t>
            </w:r>
          </w:p>
        </w:tc>
        <w:tc>
          <w:tcPr>
            <w:tcW w:w="614" w:type="pct"/>
          </w:tcPr>
          <w:p w:rsidR="00A0497C" w:rsidRPr="00530126" w:rsidRDefault="00A0497C" w:rsidP="0082751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530126">
              <w:rPr>
                <w:rFonts w:ascii="Tahoma" w:hAnsi="Tahoma" w:cs="Tahoma"/>
                <w:sz w:val="20"/>
                <w:szCs w:val="20"/>
              </w:rPr>
              <w:t>Target</w:t>
            </w:r>
          </w:p>
        </w:tc>
        <w:tc>
          <w:tcPr>
            <w:tcW w:w="960" w:type="pct"/>
          </w:tcPr>
          <w:p w:rsidR="00A0497C" w:rsidRPr="00530126" w:rsidRDefault="00A0497C" w:rsidP="0082751B">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Tahoma" w:hAnsi="Tahoma" w:cs="Tahoma"/>
                <w:color w:val="auto"/>
                <w:sz w:val="20"/>
                <w:szCs w:val="20"/>
              </w:rPr>
            </w:pPr>
            <w:r w:rsidRPr="00530126">
              <w:rPr>
                <w:rFonts w:ascii="Tahoma" w:hAnsi="Tahoma" w:cs="Tahoma"/>
                <w:sz w:val="20"/>
                <w:szCs w:val="20"/>
              </w:rPr>
              <w:t>Variance (%)</w:t>
            </w:r>
          </w:p>
        </w:tc>
      </w:tr>
      <w:tr w:rsidR="00A0497C" w:rsidRPr="00530126" w:rsidTr="0082751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814" w:type="pct"/>
          </w:tcPr>
          <w:p w:rsidR="00A0497C" w:rsidRPr="00530126" w:rsidRDefault="00A0497C" w:rsidP="0082751B">
            <w:pPr>
              <w:spacing w:after="0" w:line="360" w:lineRule="auto"/>
              <w:jc w:val="both"/>
              <w:rPr>
                <w:rFonts w:ascii="Tahoma" w:hAnsi="Tahoma" w:cs="Tahoma"/>
                <w:sz w:val="20"/>
                <w:szCs w:val="20"/>
              </w:rPr>
            </w:pPr>
            <w:r w:rsidRPr="00530126">
              <w:rPr>
                <w:rFonts w:ascii="Tahoma" w:hAnsi="Tahoma" w:cs="Tahoma"/>
                <w:sz w:val="20"/>
                <w:szCs w:val="20"/>
              </w:rPr>
              <w:t>Total Expenditure &amp; Net Lending</w:t>
            </w:r>
          </w:p>
        </w:tc>
        <w:tc>
          <w:tcPr>
            <w:tcW w:w="611" w:type="pct"/>
          </w:tcPr>
          <w:p w:rsidR="00A0497C" w:rsidRPr="006A6D8C" w:rsidRDefault="00A0497C" w:rsidP="0082751B">
            <w:pPr>
              <w:spacing w:after="0"/>
              <w:jc w:val="center"/>
              <w:cnfStyle w:val="000000100000" w:firstRow="0" w:lastRow="0" w:firstColumn="0" w:lastColumn="0" w:oddVBand="0" w:evenVBand="0" w:oddHBand="1" w:evenHBand="0" w:firstRowFirstColumn="0" w:firstRowLastColumn="0" w:lastRowFirstColumn="0" w:lastRowLastColumn="0"/>
            </w:pPr>
            <w:r w:rsidRPr="006A6D8C">
              <w:t>1</w:t>
            </w:r>
            <w:r>
              <w:t xml:space="preserve"> </w:t>
            </w:r>
            <w:r w:rsidRPr="006A6D8C">
              <w:t>483.5</w:t>
            </w:r>
          </w:p>
        </w:tc>
        <w:tc>
          <w:tcPr>
            <w:tcW w:w="614" w:type="pct"/>
          </w:tcPr>
          <w:p w:rsidR="00A0497C" w:rsidRPr="006A6D8C" w:rsidRDefault="00A0497C" w:rsidP="0082751B">
            <w:pPr>
              <w:spacing w:after="0"/>
              <w:jc w:val="center"/>
              <w:cnfStyle w:val="000000100000" w:firstRow="0" w:lastRow="0" w:firstColumn="0" w:lastColumn="0" w:oddVBand="0" w:evenVBand="0" w:oddHBand="1" w:evenHBand="0" w:firstRowFirstColumn="0" w:firstRowLastColumn="0" w:lastRowFirstColumn="0" w:lastRowLastColumn="0"/>
            </w:pPr>
            <w:r w:rsidRPr="006A6D8C">
              <w:t>1</w:t>
            </w:r>
            <w:r>
              <w:t xml:space="preserve"> </w:t>
            </w:r>
            <w:r w:rsidRPr="006A6D8C">
              <w:t>702.4</w:t>
            </w:r>
          </w:p>
        </w:tc>
        <w:tc>
          <w:tcPr>
            <w:tcW w:w="960" w:type="pct"/>
          </w:tcPr>
          <w:p w:rsidR="00A0497C" w:rsidRPr="006A6D8C" w:rsidRDefault="00A0497C" w:rsidP="0082751B">
            <w:pPr>
              <w:spacing w:after="0"/>
              <w:jc w:val="center"/>
              <w:cnfStyle w:val="000000100000" w:firstRow="0" w:lastRow="0" w:firstColumn="0" w:lastColumn="0" w:oddVBand="0" w:evenVBand="0" w:oddHBand="1" w:evenHBand="0" w:firstRowFirstColumn="0" w:firstRowLastColumn="0" w:lastRowFirstColumn="0" w:lastRowLastColumn="0"/>
            </w:pPr>
            <w:r w:rsidRPr="006A6D8C">
              <w:t>12.9</w:t>
            </w:r>
          </w:p>
        </w:tc>
      </w:tr>
      <w:tr w:rsidR="00A0497C" w:rsidRPr="00530126" w:rsidTr="0082751B">
        <w:trPr>
          <w:trHeight w:val="57"/>
        </w:trPr>
        <w:tc>
          <w:tcPr>
            <w:cnfStyle w:val="001000000000" w:firstRow="0" w:lastRow="0" w:firstColumn="1" w:lastColumn="0" w:oddVBand="0" w:evenVBand="0" w:oddHBand="0" w:evenHBand="0" w:firstRowFirstColumn="0" w:firstRowLastColumn="0" w:lastRowFirstColumn="0" w:lastRowLastColumn="0"/>
            <w:tcW w:w="2814" w:type="pct"/>
          </w:tcPr>
          <w:p w:rsidR="00A0497C" w:rsidRPr="00530126" w:rsidRDefault="00A0497C" w:rsidP="0082751B">
            <w:pPr>
              <w:spacing w:after="0" w:line="360" w:lineRule="auto"/>
              <w:jc w:val="both"/>
              <w:rPr>
                <w:rFonts w:ascii="Tahoma" w:hAnsi="Tahoma" w:cs="Tahoma"/>
                <w:b w:val="0"/>
                <w:sz w:val="20"/>
                <w:szCs w:val="20"/>
              </w:rPr>
            </w:pPr>
            <w:r w:rsidRPr="00530126">
              <w:rPr>
                <w:rFonts w:ascii="Tahoma" w:hAnsi="Tahoma" w:cs="Tahoma"/>
                <w:b w:val="0"/>
                <w:sz w:val="20"/>
                <w:szCs w:val="20"/>
              </w:rPr>
              <w:t>Employment Costs</w:t>
            </w:r>
          </w:p>
        </w:tc>
        <w:tc>
          <w:tcPr>
            <w:tcW w:w="611" w:type="pct"/>
          </w:tcPr>
          <w:p w:rsidR="00A0497C" w:rsidRPr="006A6D8C" w:rsidRDefault="00A0497C" w:rsidP="0082751B">
            <w:pPr>
              <w:spacing w:after="0"/>
              <w:jc w:val="center"/>
              <w:cnfStyle w:val="000000000000" w:firstRow="0" w:lastRow="0" w:firstColumn="0" w:lastColumn="0" w:oddVBand="0" w:evenVBand="0" w:oddHBand="0" w:evenHBand="0" w:firstRowFirstColumn="0" w:firstRowLastColumn="0" w:lastRowFirstColumn="0" w:lastRowLastColumn="0"/>
            </w:pPr>
            <w:r w:rsidRPr="006A6D8C">
              <w:t>1</w:t>
            </w:r>
            <w:r>
              <w:t xml:space="preserve"> </w:t>
            </w:r>
            <w:r w:rsidRPr="006A6D8C">
              <w:t>015.0</w:t>
            </w:r>
          </w:p>
        </w:tc>
        <w:tc>
          <w:tcPr>
            <w:tcW w:w="614" w:type="pct"/>
          </w:tcPr>
          <w:p w:rsidR="00A0497C" w:rsidRPr="006A6D8C" w:rsidRDefault="00A0497C" w:rsidP="0082751B">
            <w:pPr>
              <w:spacing w:after="0"/>
              <w:jc w:val="center"/>
              <w:cnfStyle w:val="000000000000" w:firstRow="0" w:lastRow="0" w:firstColumn="0" w:lastColumn="0" w:oddVBand="0" w:evenVBand="0" w:oddHBand="0" w:evenHBand="0" w:firstRowFirstColumn="0" w:firstRowLastColumn="0" w:lastRowFirstColumn="0" w:lastRowLastColumn="0"/>
            </w:pPr>
            <w:r w:rsidRPr="006A6D8C">
              <w:t>986.2</w:t>
            </w:r>
          </w:p>
        </w:tc>
        <w:tc>
          <w:tcPr>
            <w:tcW w:w="960" w:type="pct"/>
          </w:tcPr>
          <w:p w:rsidR="00A0497C" w:rsidRPr="006A6D8C" w:rsidRDefault="00A0497C" w:rsidP="0082751B">
            <w:pPr>
              <w:spacing w:after="0"/>
              <w:jc w:val="center"/>
              <w:cnfStyle w:val="000000000000" w:firstRow="0" w:lastRow="0" w:firstColumn="0" w:lastColumn="0" w:oddVBand="0" w:evenVBand="0" w:oddHBand="0" w:evenHBand="0" w:firstRowFirstColumn="0" w:firstRowLastColumn="0" w:lastRowFirstColumn="0" w:lastRowLastColumn="0"/>
            </w:pPr>
            <w:r w:rsidRPr="006A6D8C">
              <w:t>-2.9</w:t>
            </w:r>
          </w:p>
        </w:tc>
      </w:tr>
      <w:tr w:rsidR="00A0497C" w:rsidRPr="00530126" w:rsidTr="0082751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814" w:type="pct"/>
          </w:tcPr>
          <w:p w:rsidR="00A0497C" w:rsidRPr="00530126" w:rsidRDefault="00A0497C" w:rsidP="0082751B">
            <w:pPr>
              <w:spacing w:after="0" w:line="360" w:lineRule="auto"/>
              <w:jc w:val="both"/>
              <w:rPr>
                <w:rFonts w:ascii="Tahoma" w:hAnsi="Tahoma" w:cs="Tahoma"/>
                <w:b w:val="0"/>
                <w:sz w:val="20"/>
                <w:szCs w:val="20"/>
              </w:rPr>
            </w:pPr>
            <w:r w:rsidRPr="00530126">
              <w:rPr>
                <w:rFonts w:ascii="Tahoma" w:hAnsi="Tahoma" w:cs="Tahoma"/>
                <w:b w:val="0"/>
                <w:sz w:val="20"/>
                <w:szCs w:val="20"/>
              </w:rPr>
              <w:t>Operations &amp; Maintenance</w:t>
            </w:r>
          </w:p>
        </w:tc>
        <w:tc>
          <w:tcPr>
            <w:tcW w:w="611" w:type="pct"/>
          </w:tcPr>
          <w:p w:rsidR="00A0497C" w:rsidRPr="006A6D8C" w:rsidRDefault="00A0497C" w:rsidP="0082751B">
            <w:pPr>
              <w:spacing w:after="0"/>
              <w:jc w:val="center"/>
              <w:cnfStyle w:val="000000100000" w:firstRow="0" w:lastRow="0" w:firstColumn="0" w:lastColumn="0" w:oddVBand="0" w:evenVBand="0" w:oddHBand="1" w:evenHBand="0" w:firstRowFirstColumn="0" w:firstRowLastColumn="0" w:lastRowFirstColumn="0" w:lastRowLastColumn="0"/>
            </w:pPr>
            <w:r>
              <w:t>185.6</w:t>
            </w:r>
          </w:p>
        </w:tc>
        <w:tc>
          <w:tcPr>
            <w:tcW w:w="614" w:type="pct"/>
          </w:tcPr>
          <w:p w:rsidR="00A0497C" w:rsidRPr="006A6D8C" w:rsidRDefault="00A0497C" w:rsidP="0082751B">
            <w:pPr>
              <w:spacing w:after="0"/>
              <w:jc w:val="center"/>
              <w:cnfStyle w:val="000000100000" w:firstRow="0" w:lastRow="0" w:firstColumn="0" w:lastColumn="0" w:oddVBand="0" w:evenVBand="0" w:oddHBand="1" w:evenHBand="0" w:firstRowFirstColumn="0" w:firstRowLastColumn="0" w:lastRowFirstColumn="0" w:lastRowLastColumn="0"/>
            </w:pPr>
            <w:r w:rsidRPr="006A6D8C">
              <w:t>346.2</w:t>
            </w:r>
          </w:p>
        </w:tc>
        <w:tc>
          <w:tcPr>
            <w:tcW w:w="960" w:type="pct"/>
          </w:tcPr>
          <w:p w:rsidR="00A0497C" w:rsidRPr="006A6D8C" w:rsidRDefault="00A0497C" w:rsidP="0082751B">
            <w:pPr>
              <w:spacing w:after="0"/>
              <w:jc w:val="center"/>
              <w:cnfStyle w:val="000000100000" w:firstRow="0" w:lastRow="0" w:firstColumn="0" w:lastColumn="0" w:oddVBand="0" w:evenVBand="0" w:oddHBand="1" w:evenHBand="0" w:firstRowFirstColumn="0" w:firstRowLastColumn="0" w:lastRowFirstColumn="0" w:lastRowLastColumn="0"/>
            </w:pPr>
            <w:r>
              <w:t>46.4</w:t>
            </w:r>
          </w:p>
        </w:tc>
      </w:tr>
      <w:tr w:rsidR="00A0497C" w:rsidRPr="00530126" w:rsidTr="0082751B">
        <w:trPr>
          <w:trHeight w:val="57"/>
        </w:trPr>
        <w:tc>
          <w:tcPr>
            <w:cnfStyle w:val="001000000000" w:firstRow="0" w:lastRow="0" w:firstColumn="1" w:lastColumn="0" w:oddVBand="0" w:evenVBand="0" w:oddHBand="0" w:evenHBand="0" w:firstRowFirstColumn="0" w:firstRowLastColumn="0" w:lastRowFirstColumn="0" w:lastRowLastColumn="0"/>
            <w:tcW w:w="2814" w:type="pct"/>
          </w:tcPr>
          <w:p w:rsidR="00A0497C" w:rsidRPr="00530126" w:rsidRDefault="00A0497C" w:rsidP="0082751B">
            <w:pPr>
              <w:spacing w:after="0" w:line="360" w:lineRule="auto"/>
              <w:jc w:val="both"/>
              <w:rPr>
                <w:rFonts w:ascii="Tahoma" w:hAnsi="Tahoma" w:cs="Tahoma"/>
                <w:b w:val="0"/>
                <w:sz w:val="20"/>
                <w:szCs w:val="20"/>
              </w:rPr>
            </w:pPr>
            <w:r w:rsidRPr="00530126">
              <w:rPr>
                <w:rFonts w:ascii="Tahoma" w:hAnsi="Tahoma" w:cs="Tahoma"/>
                <w:b w:val="0"/>
                <w:sz w:val="20"/>
                <w:szCs w:val="20"/>
              </w:rPr>
              <w:t>Interest</w:t>
            </w:r>
          </w:p>
        </w:tc>
        <w:tc>
          <w:tcPr>
            <w:tcW w:w="611" w:type="pct"/>
          </w:tcPr>
          <w:p w:rsidR="00A0497C" w:rsidRPr="006A6D8C" w:rsidRDefault="00A0497C" w:rsidP="0082751B">
            <w:pPr>
              <w:spacing w:after="0"/>
              <w:jc w:val="center"/>
              <w:cnfStyle w:val="000000000000" w:firstRow="0" w:lastRow="0" w:firstColumn="0" w:lastColumn="0" w:oddVBand="0" w:evenVBand="0" w:oddHBand="0" w:evenHBand="0" w:firstRowFirstColumn="0" w:firstRowLastColumn="0" w:lastRowFirstColumn="0" w:lastRowLastColumn="0"/>
            </w:pPr>
            <w:r w:rsidRPr="006A6D8C">
              <w:t>93.3</w:t>
            </w:r>
          </w:p>
        </w:tc>
        <w:tc>
          <w:tcPr>
            <w:tcW w:w="614" w:type="pct"/>
          </w:tcPr>
          <w:p w:rsidR="00A0497C" w:rsidRPr="006A6D8C" w:rsidRDefault="00A0497C" w:rsidP="0082751B">
            <w:pPr>
              <w:spacing w:after="0"/>
              <w:jc w:val="center"/>
              <w:cnfStyle w:val="000000000000" w:firstRow="0" w:lastRow="0" w:firstColumn="0" w:lastColumn="0" w:oddVBand="0" w:evenVBand="0" w:oddHBand="0" w:evenHBand="0" w:firstRowFirstColumn="0" w:firstRowLastColumn="0" w:lastRowFirstColumn="0" w:lastRowLastColumn="0"/>
            </w:pPr>
            <w:r w:rsidRPr="006A6D8C">
              <w:t>64.9</w:t>
            </w:r>
          </w:p>
        </w:tc>
        <w:tc>
          <w:tcPr>
            <w:tcW w:w="960" w:type="pct"/>
          </w:tcPr>
          <w:p w:rsidR="00A0497C" w:rsidRPr="006A6D8C" w:rsidRDefault="00A0497C" w:rsidP="0082751B">
            <w:pPr>
              <w:spacing w:after="0"/>
              <w:jc w:val="center"/>
              <w:cnfStyle w:val="000000000000" w:firstRow="0" w:lastRow="0" w:firstColumn="0" w:lastColumn="0" w:oddVBand="0" w:evenVBand="0" w:oddHBand="0" w:evenHBand="0" w:firstRowFirstColumn="0" w:firstRowLastColumn="0" w:lastRowFirstColumn="0" w:lastRowLastColumn="0"/>
            </w:pPr>
            <w:r w:rsidRPr="006A6D8C">
              <w:t>-43.7</w:t>
            </w:r>
          </w:p>
        </w:tc>
      </w:tr>
      <w:tr w:rsidR="00A0497C" w:rsidRPr="006A4C20" w:rsidTr="0082751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814" w:type="pct"/>
          </w:tcPr>
          <w:p w:rsidR="00A0497C" w:rsidRPr="00530126" w:rsidRDefault="00A0497C" w:rsidP="0082751B">
            <w:pPr>
              <w:spacing w:after="0" w:line="360" w:lineRule="auto"/>
              <w:jc w:val="both"/>
              <w:rPr>
                <w:rFonts w:ascii="Tahoma" w:hAnsi="Tahoma" w:cs="Tahoma"/>
                <w:b w:val="0"/>
                <w:sz w:val="20"/>
                <w:szCs w:val="20"/>
              </w:rPr>
            </w:pPr>
            <w:r w:rsidRPr="00530126">
              <w:rPr>
                <w:rFonts w:ascii="Tahoma" w:hAnsi="Tahoma" w:cs="Tahoma"/>
                <w:b w:val="0"/>
                <w:sz w:val="20"/>
                <w:szCs w:val="20"/>
              </w:rPr>
              <w:t>Capital &amp; Net Lending</w:t>
            </w:r>
          </w:p>
        </w:tc>
        <w:tc>
          <w:tcPr>
            <w:tcW w:w="611" w:type="pct"/>
          </w:tcPr>
          <w:p w:rsidR="00A0497C" w:rsidRPr="006A6D8C" w:rsidRDefault="00A0497C" w:rsidP="0082751B">
            <w:pPr>
              <w:spacing w:after="0"/>
              <w:jc w:val="center"/>
              <w:cnfStyle w:val="000000100000" w:firstRow="0" w:lastRow="0" w:firstColumn="0" w:lastColumn="0" w:oddVBand="0" w:evenVBand="0" w:oddHBand="1" w:evenHBand="0" w:firstRowFirstColumn="0" w:firstRowLastColumn="0" w:lastRowFirstColumn="0" w:lastRowLastColumn="0"/>
            </w:pPr>
            <w:r>
              <w:t>174.8</w:t>
            </w:r>
          </w:p>
        </w:tc>
        <w:tc>
          <w:tcPr>
            <w:tcW w:w="614" w:type="pct"/>
          </w:tcPr>
          <w:p w:rsidR="00A0497C" w:rsidRPr="006A6D8C" w:rsidRDefault="00A0497C" w:rsidP="0082751B">
            <w:pPr>
              <w:spacing w:after="0"/>
              <w:jc w:val="center"/>
              <w:cnfStyle w:val="000000100000" w:firstRow="0" w:lastRow="0" w:firstColumn="0" w:lastColumn="0" w:oddVBand="0" w:evenVBand="0" w:oddHBand="1" w:evenHBand="0" w:firstRowFirstColumn="0" w:firstRowLastColumn="0" w:lastRowFirstColumn="0" w:lastRowLastColumn="0"/>
            </w:pPr>
            <w:r w:rsidRPr="006A6D8C">
              <w:t>305.0</w:t>
            </w:r>
          </w:p>
        </w:tc>
        <w:tc>
          <w:tcPr>
            <w:tcW w:w="960" w:type="pct"/>
          </w:tcPr>
          <w:p w:rsidR="00A0497C" w:rsidRDefault="00A0497C" w:rsidP="0082751B">
            <w:pPr>
              <w:spacing w:after="0"/>
              <w:jc w:val="center"/>
              <w:cnfStyle w:val="000000100000" w:firstRow="0" w:lastRow="0" w:firstColumn="0" w:lastColumn="0" w:oddVBand="0" w:evenVBand="0" w:oddHBand="1" w:evenHBand="0" w:firstRowFirstColumn="0" w:firstRowLastColumn="0" w:lastRowFirstColumn="0" w:lastRowLastColumn="0"/>
            </w:pPr>
            <w:r w:rsidRPr="006A6D8C">
              <w:t>43.2</w:t>
            </w:r>
          </w:p>
        </w:tc>
      </w:tr>
    </w:tbl>
    <w:p w:rsidR="00A0497C" w:rsidRPr="00A602A0" w:rsidRDefault="00A0497C" w:rsidP="0082751B">
      <w:pPr>
        <w:spacing w:after="0" w:line="360" w:lineRule="auto"/>
        <w:ind w:firstLine="720"/>
        <w:jc w:val="both"/>
        <w:rPr>
          <w:rFonts w:ascii="Tahoma" w:hAnsi="Tahoma" w:cs="Tahoma"/>
          <w:i/>
          <w:iCs/>
          <w:sz w:val="18"/>
          <w:szCs w:val="16"/>
        </w:rPr>
      </w:pPr>
      <w:r w:rsidRPr="00A602A0">
        <w:rPr>
          <w:rFonts w:ascii="Tahoma" w:hAnsi="Tahoma" w:cs="Tahoma"/>
          <w:i/>
          <w:iCs/>
          <w:sz w:val="18"/>
          <w:szCs w:val="16"/>
        </w:rPr>
        <w:t>Source: Ministry of Finance &amp; Economic Development</w:t>
      </w:r>
    </w:p>
    <w:p w:rsidR="00202832" w:rsidRDefault="00202832" w:rsidP="002D317A">
      <w:pPr>
        <w:pStyle w:val="ListParagraph"/>
        <w:tabs>
          <w:tab w:val="left" w:pos="180"/>
        </w:tabs>
        <w:spacing w:after="0" w:line="360" w:lineRule="auto"/>
        <w:ind w:left="180"/>
        <w:jc w:val="both"/>
        <w:rPr>
          <w:rFonts w:ascii="Tahoma" w:hAnsi="Tahoma" w:cs="Tahoma"/>
          <w:i/>
          <w:sz w:val="24"/>
          <w:szCs w:val="24"/>
        </w:rPr>
      </w:pPr>
    </w:p>
    <w:p w:rsidR="002D317A" w:rsidRPr="002D4B57" w:rsidRDefault="00202832" w:rsidP="002D317A">
      <w:pPr>
        <w:pStyle w:val="ListParagraph"/>
        <w:tabs>
          <w:tab w:val="left" w:pos="180"/>
        </w:tabs>
        <w:spacing w:after="0" w:line="360" w:lineRule="auto"/>
        <w:ind w:left="180"/>
        <w:jc w:val="both"/>
        <w:rPr>
          <w:rFonts w:ascii="Tahoma" w:eastAsia="Cambria" w:hAnsi="Tahoma" w:cs="Tahoma"/>
          <w:bCs/>
          <w:i/>
          <w:sz w:val="24"/>
          <w:szCs w:val="24"/>
        </w:rPr>
      </w:pPr>
      <w:r>
        <w:rPr>
          <w:rFonts w:ascii="Tahoma" w:hAnsi="Tahoma" w:cs="Tahoma"/>
          <w:i/>
          <w:sz w:val="24"/>
          <w:szCs w:val="24"/>
        </w:rPr>
        <w:tab/>
      </w:r>
      <w:r w:rsidR="002D317A" w:rsidRPr="002D4B57">
        <w:rPr>
          <w:rFonts w:ascii="Tahoma" w:hAnsi="Tahoma" w:cs="Tahoma"/>
          <w:i/>
          <w:sz w:val="24"/>
          <w:szCs w:val="24"/>
        </w:rPr>
        <w:t>Employment Costs</w:t>
      </w:r>
    </w:p>
    <w:p w:rsidR="002D317A" w:rsidRPr="00007A06" w:rsidRDefault="002D317A" w:rsidP="002D317A">
      <w:pPr>
        <w:pStyle w:val="ListParagraph"/>
        <w:tabs>
          <w:tab w:val="left" w:pos="180"/>
        </w:tabs>
        <w:spacing w:after="0" w:line="360" w:lineRule="auto"/>
        <w:ind w:left="180"/>
        <w:jc w:val="both"/>
        <w:rPr>
          <w:rFonts w:ascii="Tahoma" w:eastAsia="Cambria" w:hAnsi="Tahoma" w:cs="Tahoma"/>
          <w:bCs/>
          <w:sz w:val="28"/>
          <w:szCs w:val="28"/>
        </w:rPr>
      </w:pPr>
    </w:p>
    <w:p w:rsidR="002D317A" w:rsidRPr="00AC716B" w:rsidRDefault="002D317A" w:rsidP="00AC716B">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Employment costs at 68.4</w:t>
      </w:r>
      <w:r w:rsidRPr="00373A8C">
        <w:rPr>
          <w:rFonts w:ascii="Tahoma" w:hAnsi="Tahoma" w:cs="Tahoma"/>
          <w:sz w:val="24"/>
          <w:szCs w:val="24"/>
        </w:rPr>
        <w:t xml:space="preserve">% of the total expenditures continue to dominate the expenditures. </w:t>
      </w:r>
      <w:r w:rsidRPr="00AC716B">
        <w:rPr>
          <w:rFonts w:ascii="Tahoma" w:hAnsi="Tahoma" w:cs="Tahoma"/>
          <w:sz w:val="24"/>
          <w:szCs w:val="24"/>
        </w:rPr>
        <w:t>However, the increase in employment costs to total expenditure in 2019 is largely d</w:t>
      </w:r>
      <w:r w:rsidR="00A0497C">
        <w:rPr>
          <w:rFonts w:ascii="Tahoma" w:hAnsi="Tahoma" w:cs="Tahoma"/>
          <w:sz w:val="24"/>
          <w:szCs w:val="24"/>
        </w:rPr>
        <w:t xml:space="preserve">ue to the cushioning allowance and </w:t>
      </w:r>
      <w:r w:rsidRPr="00AC716B">
        <w:rPr>
          <w:rFonts w:ascii="Tahoma" w:hAnsi="Tahoma" w:cs="Tahoma"/>
          <w:sz w:val="24"/>
          <w:szCs w:val="24"/>
        </w:rPr>
        <w:t xml:space="preserve">pension reviews, filling of critical </w:t>
      </w:r>
      <w:r w:rsidRPr="00AC716B">
        <w:rPr>
          <w:rFonts w:ascii="Tahoma" w:hAnsi="Tahoma" w:cs="Tahoma"/>
          <w:sz w:val="24"/>
          <w:szCs w:val="24"/>
        </w:rPr>
        <w:lastRenderedPageBreak/>
        <w:t xml:space="preserve">posts in the education and health sectors as well as the effect of the introduction of exchange rate on the salaries for staff at foreign missions from February 2019. </w:t>
      </w:r>
    </w:p>
    <w:p w:rsidR="002D317A" w:rsidRPr="00E05985" w:rsidRDefault="002D317A" w:rsidP="002D317A">
      <w:pPr>
        <w:pStyle w:val="ListParagraph"/>
        <w:rPr>
          <w:rFonts w:ascii="Tahoma" w:hAnsi="Tahoma" w:cs="Tahoma"/>
          <w:sz w:val="24"/>
          <w:szCs w:val="24"/>
        </w:rPr>
      </w:pPr>
    </w:p>
    <w:p w:rsidR="002D317A" w:rsidRPr="00A14B02" w:rsidRDefault="002D317A" w:rsidP="002D317A">
      <w:pPr>
        <w:pStyle w:val="ListParagraph"/>
        <w:tabs>
          <w:tab w:val="left" w:pos="180"/>
        </w:tabs>
        <w:spacing w:after="0" w:line="360" w:lineRule="auto"/>
        <w:ind w:left="180"/>
        <w:jc w:val="both"/>
        <w:rPr>
          <w:rFonts w:ascii="Tahoma" w:hAnsi="Tahoma" w:cs="Tahoma"/>
          <w:b/>
          <w:i/>
          <w:sz w:val="24"/>
          <w:szCs w:val="24"/>
        </w:rPr>
      </w:pPr>
      <w:r w:rsidRPr="00A14B02">
        <w:rPr>
          <w:rFonts w:ascii="Tahoma" w:hAnsi="Tahoma" w:cs="Tahoma"/>
          <w:b/>
          <w:i/>
          <w:sz w:val="24"/>
          <w:szCs w:val="24"/>
        </w:rPr>
        <w:t>Capital &amp; Net Lending</w:t>
      </w:r>
    </w:p>
    <w:p w:rsidR="002D317A" w:rsidRPr="00007A06" w:rsidRDefault="002D317A" w:rsidP="002D317A">
      <w:pPr>
        <w:pStyle w:val="ListParagraph"/>
        <w:tabs>
          <w:tab w:val="left" w:pos="180"/>
        </w:tabs>
        <w:spacing w:after="0" w:line="360" w:lineRule="auto"/>
        <w:ind w:left="180"/>
        <w:jc w:val="both"/>
        <w:rPr>
          <w:rFonts w:ascii="Tahoma" w:eastAsia="Cambria" w:hAnsi="Tahoma" w:cs="Tahoma"/>
          <w:bCs/>
          <w:sz w:val="28"/>
          <w:szCs w:val="28"/>
        </w:rPr>
      </w:pPr>
    </w:p>
    <w:p w:rsidR="002D317A" w:rsidRPr="00373A8C" w:rsidRDefault="002D317A" w:rsidP="002D317A">
      <w:pPr>
        <w:pStyle w:val="ListParagraph"/>
        <w:numPr>
          <w:ilvl w:val="0"/>
          <w:numId w:val="1"/>
        </w:numPr>
        <w:spacing w:after="160" w:line="360" w:lineRule="auto"/>
        <w:ind w:left="567" w:hanging="567"/>
        <w:jc w:val="both"/>
        <w:rPr>
          <w:rFonts w:ascii="Tahoma" w:hAnsi="Tahoma" w:cs="Tahoma"/>
          <w:sz w:val="24"/>
          <w:szCs w:val="24"/>
        </w:rPr>
      </w:pPr>
      <w:r w:rsidRPr="00373A8C">
        <w:rPr>
          <w:rFonts w:ascii="Tahoma" w:hAnsi="Tahoma" w:cs="Tahoma"/>
          <w:sz w:val="24"/>
          <w:szCs w:val="24"/>
        </w:rPr>
        <w:t>Capit</w:t>
      </w:r>
      <w:r w:rsidR="00804701">
        <w:rPr>
          <w:rFonts w:ascii="Tahoma" w:hAnsi="Tahoma" w:cs="Tahoma"/>
          <w:sz w:val="24"/>
          <w:szCs w:val="24"/>
        </w:rPr>
        <w:t xml:space="preserve">al Expenditure and Net Lending, constituted </w:t>
      </w:r>
      <w:r w:rsidRPr="00373A8C">
        <w:rPr>
          <w:rFonts w:ascii="Tahoma" w:hAnsi="Tahoma" w:cs="Tahoma"/>
          <w:sz w:val="24"/>
          <w:szCs w:val="24"/>
        </w:rPr>
        <w:t>11.</w:t>
      </w:r>
      <w:r>
        <w:rPr>
          <w:rFonts w:ascii="Tahoma" w:hAnsi="Tahoma" w:cs="Tahoma"/>
          <w:sz w:val="24"/>
          <w:szCs w:val="24"/>
        </w:rPr>
        <w:t>7</w:t>
      </w:r>
      <w:r w:rsidRPr="00373A8C">
        <w:rPr>
          <w:rFonts w:ascii="Tahoma" w:hAnsi="Tahoma" w:cs="Tahoma"/>
          <w:sz w:val="24"/>
          <w:szCs w:val="24"/>
        </w:rPr>
        <w:t>%</w:t>
      </w:r>
      <w:r w:rsidR="00804701">
        <w:rPr>
          <w:rFonts w:ascii="Tahoma" w:hAnsi="Tahoma" w:cs="Tahoma"/>
          <w:sz w:val="24"/>
          <w:szCs w:val="24"/>
        </w:rPr>
        <w:t xml:space="preserve"> of total expenditures</w:t>
      </w:r>
      <w:r w:rsidRPr="00373A8C">
        <w:rPr>
          <w:rFonts w:ascii="Tahoma" w:hAnsi="Tahoma" w:cs="Tahoma"/>
          <w:sz w:val="24"/>
          <w:szCs w:val="24"/>
        </w:rPr>
        <w:t xml:space="preserve"> </w:t>
      </w:r>
      <w:r w:rsidR="00804701">
        <w:rPr>
          <w:rFonts w:ascii="Tahoma" w:hAnsi="Tahoma" w:cs="Tahoma"/>
          <w:sz w:val="24"/>
          <w:szCs w:val="24"/>
        </w:rPr>
        <w:t xml:space="preserve">during the first quarter of </w:t>
      </w:r>
      <w:r w:rsidRPr="00373A8C">
        <w:rPr>
          <w:rFonts w:ascii="Tahoma" w:hAnsi="Tahoma" w:cs="Tahoma"/>
          <w:sz w:val="24"/>
          <w:szCs w:val="24"/>
        </w:rPr>
        <w:t>2019.</w:t>
      </w:r>
      <w:r w:rsidR="0028403B">
        <w:rPr>
          <w:rFonts w:ascii="Tahoma" w:hAnsi="Tahoma" w:cs="Tahoma"/>
          <w:sz w:val="24"/>
          <w:szCs w:val="24"/>
        </w:rPr>
        <w:t xml:space="preserve"> The Budget resources were complemented by </w:t>
      </w:r>
      <w:r w:rsidR="0028403B">
        <w:rPr>
          <w:rFonts w:ascii="Tahoma" w:hAnsi="Tahoma" w:cs="Tahoma"/>
          <w:sz w:val="24"/>
          <w:szCs w:val="24"/>
          <w:lang w:val="en-GB"/>
        </w:rPr>
        <w:t>off budget financing, towards infrastructure projects covering mainly energy, transport, water and sanitation, housing and social sectors.</w:t>
      </w:r>
    </w:p>
    <w:p w:rsidR="002D317A" w:rsidRDefault="002D317A" w:rsidP="0028403B">
      <w:pPr>
        <w:pStyle w:val="ListParagraph"/>
        <w:spacing w:after="160" w:line="360" w:lineRule="auto"/>
        <w:ind w:left="567"/>
        <w:jc w:val="both"/>
        <w:rPr>
          <w:rFonts w:ascii="Tahoma" w:eastAsia="Cambria" w:hAnsi="Tahoma" w:cs="Tahoma"/>
          <w:bCs/>
          <w:sz w:val="28"/>
          <w:szCs w:val="28"/>
        </w:rPr>
      </w:pPr>
    </w:p>
    <w:p w:rsidR="00202832" w:rsidRDefault="0046664B" w:rsidP="00202832">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From the 2% IMTT ring fenced tax, s</w:t>
      </w:r>
      <w:r w:rsidR="00202832" w:rsidRPr="00A3474E">
        <w:rPr>
          <w:rFonts w:ascii="Tahoma" w:hAnsi="Tahoma" w:cs="Tahoma"/>
          <w:sz w:val="24"/>
          <w:szCs w:val="24"/>
        </w:rPr>
        <w:t xml:space="preserve">pecific projects that have benefitted </w:t>
      </w:r>
      <w:r>
        <w:rPr>
          <w:rFonts w:ascii="Tahoma" w:hAnsi="Tahoma" w:cs="Tahoma"/>
          <w:sz w:val="24"/>
          <w:szCs w:val="24"/>
        </w:rPr>
        <w:t xml:space="preserve">include </w:t>
      </w:r>
      <w:r w:rsidR="00202832" w:rsidRPr="00A3474E">
        <w:rPr>
          <w:rFonts w:ascii="Tahoma" w:hAnsi="Tahoma" w:cs="Tahoma"/>
          <w:sz w:val="24"/>
          <w:szCs w:val="24"/>
        </w:rPr>
        <w:t xml:space="preserve">dualisation of Norton </w:t>
      </w:r>
      <w:r>
        <w:rPr>
          <w:rFonts w:ascii="Tahoma" w:hAnsi="Tahoma" w:cs="Tahoma"/>
          <w:sz w:val="24"/>
          <w:szCs w:val="24"/>
        </w:rPr>
        <w:t xml:space="preserve">road along </w:t>
      </w:r>
      <w:r w:rsidR="00202832" w:rsidRPr="00A3474E">
        <w:rPr>
          <w:rFonts w:ascii="Tahoma" w:hAnsi="Tahoma" w:cs="Tahoma"/>
          <w:sz w:val="24"/>
          <w:szCs w:val="24"/>
        </w:rPr>
        <w:t xml:space="preserve">the Harare-Bulawayo Highway and </w:t>
      </w:r>
      <w:r w:rsidR="00202832" w:rsidRPr="00340081">
        <w:rPr>
          <w:rFonts w:ascii="Tahoma" w:hAnsi="Tahoma" w:cs="Tahoma"/>
          <w:sz w:val="24"/>
          <w:szCs w:val="24"/>
        </w:rPr>
        <w:t>development of a road in Bindura</w:t>
      </w:r>
      <w:r w:rsidR="00202832" w:rsidRPr="00A3474E">
        <w:rPr>
          <w:rFonts w:ascii="Tahoma" w:hAnsi="Tahoma" w:cs="Tahoma"/>
          <w:sz w:val="24"/>
          <w:szCs w:val="24"/>
        </w:rPr>
        <w:t>, among others.</w:t>
      </w:r>
      <w:r w:rsidR="00E57812">
        <w:rPr>
          <w:rFonts w:ascii="Tahoma" w:hAnsi="Tahoma" w:cs="Tahoma"/>
          <w:sz w:val="24"/>
          <w:szCs w:val="24"/>
        </w:rPr>
        <w:t xml:space="preserve"> </w:t>
      </w:r>
    </w:p>
    <w:p w:rsidR="00202832" w:rsidRDefault="00202832" w:rsidP="00202832">
      <w:pPr>
        <w:pStyle w:val="ListParagraph"/>
        <w:rPr>
          <w:rFonts w:ascii="Tahoma" w:hAnsi="Tahoma" w:cs="Tahoma"/>
          <w:sz w:val="24"/>
          <w:szCs w:val="24"/>
        </w:rPr>
      </w:pPr>
    </w:p>
    <w:p w:rsidR="00D17596" w:rsidRPr="0025363D" w:rsidRDefault="0025363D" w:rsidP="0025363D">
      <w:pPr>
        <w:pStyle w:val="Heading3"/>
        <w:ind w:firstLine="567"/>
        <w:rPr>
          <w:rFonts w:ascii="Tahoma" w:hAnsi="Tahoma" w:cs="Tahoma"/>
          <w:i/>
          <w:color w:val="auto"/>
        </w:rPr>
      </w:pPr>
      <w:r w:rsidRPr="0025363D">
        <w:rPr>
          <w:rFonts w:ascii="Tahoma" w:hAnsi="Tahoma" w:cs="Tahoma"/>
          <w:i/>
          <w:color w:val="auto"/>
        </w:rPr>
        <w:t>Devolution</w:t>
      </w:r>
    </w:p>
    <w:p w:rsidR="00D17596" w:rsidRPr="00F137D1" w:rsidRDefault="00D17596" w:rsidP="00202832">
      <w:pPr>
        <w:pStyle w:val="ListParagraph"/>
        <w:rPr>
          <w:rFonts w:ascii="Tahoma" w:hAnsi="Tahoma" w:cs="Tahoma"/>
          <w:sz w:val="24"/>
          <w:szCs w:val="24"/>
        </w:rPr>
      </w:pPr>
    </w:p>
    <w:p w:rsidR="00CE23D3" w:rsidRPr="00CC2FDE" w:rsidRDefault="00CE23D3" w:rsidP="00CE23D3">
      <w:pPr>
        <w:pStyle w:val="ListParagraph"/>
        <w:numPr>
          <w:ilvl w:val="0"/>
          <w:numId w:val="1"/>
        </w:numPr>
        <w:spacing w:after="160" w:line="360" w:lineRule="auto"/>
        <w:ind w:left="567" w:hanging="567"/>
        <w:jc w:val="both"/>
        <w:rPr>
          <w:rFonts w:ascii="Tahoma" w:hAnsi="Tahoma" w:cs="Tahoma"/>
          <w:sz w:val="24"/>
          <w:szCs w:val="24"/>
        </w:rPr>
      </w:pPr>
      <w:r w:rsidRPr="00CC2FDE">
        <w:rPr>
          <w:rFonts w:ascii="Tahoma" w:hAnsi="Tahoma" w:cs="Tahoma"/>
          <w:sz w:val="24"/>
          <w:szCs w:val="24"/>
        </w:rPr>
        <w:t xml:space="preserve">The 2019 National Budget </w:t>
      </w:r>
      <w:r>
        <w:rPr>
          <w:rFonts w:ascii="Tahoma" w:hAnsi="Tahoma" w:cs="Tahoma"/>
          <w:sz w:val="24"/>
          <w:szCs w:val="24"/>
        </w:rPr>
        <w:t xml:space="preserve">allocated some US$310 million for the devolution programme under which resources are to be distributed </w:t>
      </w:r>
      <w:r w:rsidRPr="00CC2FDE">
        <w:rPr>
          <w:rFonts w:ascii="Tahoma" w:hAnsi="Tahoma" w:cs="Tahoma"/>
          <w:sz w:val="24"/>
          <w:szCs w:val="24"/>
        </w:rPr>
        <w:t xml:space="preserve">to Provincial and Local tiers, in line with the Constitutional provision under Chapter 14 on devolution. </w:t>
      </w:r>
    </w:p>
    <w:p w:rsidR="00CE23D3" w:rsidRPr="00CC2FDE" w:rsidRDefault="00CE23D3" w:rsidP="00CE23D3">
      <w:pPr>
        <w:pStyle w:val="ListParagraph"/>
        <w:spacing w:after="0" w:line="360" w:lineRule="auto"/>
        <w:ind w:left="0"/>
        <w:jc w:val="both"/>
        <w:rPr>
          <w:rFonts w:ascii="Tahoma" w:eastAsia="Cambria" w:hAnsi="Tahoma" w:cs="Tahoma"/>
          <w:bCs/>
          <w:sz w:val="24"/>
          <w:szCs w:val="24"/>
          <w:highlight w:val="yellow"/>
        </w:rPr>
      </w:pPr>
    </w:p>
    <w:p w:rsidR="00CE23D3" w:rsidRPr="00CC2FDE" w:rsidRDefault="00CE23D3" w:rsidP="00CE23D3">
      <w:pPr>
        <w:pStyle w:val="ListParagraph"/>
        <w:numPr>
          <w:ilvl w:val="0"/>
          <w:numId w:val="1"/>
        </w:numPr>
        <w:spacing w:after="160" w:line="360" w:lineRule="auto"/>
        <w:ind w:left="567" w:hanging="567"/>
        <w:jc w:val="both"/>
        <w:rPr>
          <w:rFonts w:ascii="Tahoma" w:hAnsi="Tahoma" w:cs="Tahoma"/>
          <w:sz w:val="24"/>
          <w:szCs w:val="24"/>
        </w:rPr>
      </w:pPr>
      <w:r w:rsidRPr="00CC2FDE">
        <w:rPr>
          <w:rFonts w:ascii="Tahoma" w:hAnsi="Tahoma" w:cs="Tahoma"/>
          <w:sz w:val="24"/>
          <w:szCs w:val="24"/>
        </w:rPr>
        <w:t xml:space="preserve">The devolution objective is to achieve growth and development that is equitable, shared and sustainable to the benefit of citizens at all levels. </w:t>
      </w:r>
    </w:p>
    <w:p w:rsidR="008A2582" w:rsidRDefault="008A2582" w:rsidP="008A2582">
      <w:pPr>
        <w:pStyle w:val="ListParagraph"/>
        <w:spacing w:after="160" w:line="360" w:lineRule="auto"/>
        <w:ind w:left="567"/>
        <w:jc w:val="both"/>
        <w:rPr>
          <w:rFonts w:ascii="Tahoma" w:hAnsi="Tahoma" w:cs="Tahoma"/>
          <w:sz w:val="24"/>
          <w:szCs w:val="24"/>
        </w:rPr>
      </w:pPr>
    </w:p>
    <w:p w:rsidR="002D317A" w:rsidRPr="00007A06" w:rsidRDefault="00CE23D3" w:rsidP="00202832">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 xml:space="preserve">Consequently, from the 2% ring fenced IMTT resources, </w:t>
      </w:r>
      <w:r w:rsidR="00202832">
        <w:rPr>
          <w:rFonts w:ascii="Tahoma" w:hAnsi="Tahoma" w:cs="Tahoma"/>
          <w:sz w:val="24"/>
          <w:szCs w:val="24"/>
        </w:rPr>
        <w:t xml:space="preserve">Treasury </w:t>
      </w:r>
      <w:r>
        <w:rPr>
          <w:rFonts w:ascii="Tahoma" w:hAnsi="Tahoma" w:cs="Tahoma"/>
          <w:sz w:val="24"/>
          <w:szCs w:val="24"/>
        </w:rPr>
        <w:t xml:space="preserve">has so far </w:t>
      </w:r>
      <w:r w:rsidR="00202832">
        <w:rPr>
          <w:rFonts w:ascii="Tahoma" w:hAnsi="Tahoma" w:cs="Tahoma"/>
          <w:sz w:val="24"/>
          <w:szCs w:val="24"/>
        </w:rPr>
        <w:t xml:space="preserve">disbursed RTGS$42 million to Ministry of Local Government, </w:t>
      </w:r>
      <w:r w:rsidR="00202832" w:rsidRPr="00F137D1">
        <w:rPr>
          <w:rFonts w:ascii="Tahoma" w:hAnsi="Tahoma" w:cs="Tahoma"/>
          <w:sz w:val="24"/>
          <w:szCs w:val="24"/>
          <w:lang w:val="en-US"/>
        </w:rPr>
        <w:t>Public Works and National Housing</w:t>
      </w:r>
      <w:r w:rsidR="00202832">
        <w:rPr>
          <w:rFonts w:ascii="Tahoma" w:hAnsi="Tahoma" w:cs="Tahoma"/>
          <w:sz w:val="24"/>
          <w:szCs w:val="24"/>
        </w:rPr>
        <w:t xml:space="preserve"> for </w:t>
      </w:r>
      <w:r w:rsidR="0046664B">
        <w:rPr>
          <w:rFonts w:ascii="Tahoma" w:hAnsi="Tahoma" w:cs="Tahoma"/>
          <w:sz w:val="24"/>
          <w:szCs w:val="24"/>
        </w:rPr>
        <w:t xml:space="preserve">the </w:t>
      </w:r>
      <w:r w:rsidR="00202832" w:rsidRPr="00CE23D3">
        <w:rPr>
          <w:rFonts w:ascii="Tahoma" w:hAnsi="Tahoma" w:cs="Tahoma"/>
          <w:sz w:val="24"/>
          <w:szCs w:val="24"/>
        </w:rPr>
        <w:t>devolution</w:t>
      </w:r>
      <w:r w:rsidR="00202832">
        <w:rPr>
          <w:rFonts w:ascii="Tahoma" w:hAnsi="Tahoma" w:cs="Tahoma"/>
          <w:sz w:val="24"/>
          <w:szCs w:val="24"/>
        </w:rPr>
        <w:t xml:space="preserve"> </w:t>
      </w:r>
      <w:r w:rsidR="0046664B">
        <w:rPr>
          <w:rFonts w:ascii="Tahoma" w:hAnsi="Tahoma" w:cs="Tahoma"/>
          <w:sz w:val="24"/>
          <w:szCs w:val="24"/>
        </w:rPr>
        <w:t xml:space="preserve">programmes under various </w:t>
      </w:r>
      <w:r w:rsidR="00202832">
        <w:rPr>
          <w:rFonts w:ascii="Tahoma" w:hAnsi="Tahoma" w:cs="Tahoma"/>
          <w:sz w:val="24"/>
          <w:szCs w:val="24"/>
        </w:rPr>
        <w:t>provinces and districts</w:t>
      </w:r>
      <w:r w:rsidR="0046664B">
        <w:rPr>
          <w:rFonts w:ascii="Tahoma" w:hAnsi="Tahoma" w:cs="Tahoma"/>
          <w:sz w:val="24"/>
          <w:szCs w:val="24"/>
        </w:rPr>
        <w:t>.</w:t>
      </w:r>
    </w:p>
    <w:p w:rsidR="002D317A" w:rsidRDefault="002D317A" w:rsidP="002D317A">
      <w:pPr>
        <w:pStyle w:val="ListParagraph"/>
        <w:tabs>
          <w:tab w:val="left" w:pos="180"/>
        </w:tabs>
        <w:spacing w:after="0" w:line="360" w:lineRule="auto"/>
        <w:ind w:left="180"/>
        <w:jc w:val="both"/>
        <w:rPr>
          <w:rFonts w:ascii="Tahoma" w:eastAsia="Cambria" w:hAnsi="Tahoma" w:cs="Tahoma"/>
          <w:bCs/>
          <w:sz w:val="28"/>
          <w:szCs w:val="28"/>
        </w:rPr>
      </w:pPr>
    </w:p>
    <w:p w:rsidR="00D17596" w:rsidRPr="00D17596" w:rsidRDefault="00D17596" w:rsidP="00D17596">
      <w:pPr>
        <w:pStyle w:val="Heading3"/>
        <w:ind w:firstLine="567"/>
        <w:rPr>
          <w:rFonts w:ascii="Tahoma" w:hAnsi="Tahoma" w:cs="Tahoma"/>
          <w:i/>
          <w:color w:val="auto"/>
        </w:rPr>
      </w:pPr>
      <w:r w:rsidRPr="00D17596">
        <w:rPr>
          <w:rFonts w:ascii="Tahoma" w:hAnsi="Tahoma" w:cs="Tahoma"/>
          <w:i/>
          <w:color w:val="auto"/>
        </w:rPr>
        <w:t>Mitigating Cyclone Idai Disaster</w:t>
      </w:r>
    </w:p>
    <w:p w:rsidR="00D17596" w:rsidRPr="00007A06" w:rsidRDefault="00D17596" w:rsidP="002D317A">
      <w:pPr>
        <w:pStyle w:val="ListParagraph"/>
        <w:tabs>
          <w:tab w:val="left" w:pos="180"/>
        </w:tabs>
        <w:spacing w:after="0" w:line="360" w:lineRule="auto"/>
        <w:ind w:left="180"/>
        <w:jc w:val="both"/>
        <w:rPr>
          <w:rFonts w:ascii="Tahoma" w:eastAsia="Cambria" w:hAnsi="Tahoma" w:cs="Tahoma"/>
          <w:bCs/>
          <w:sz w:val="28"/>
          <w:szCs w:val="28"/>
        </w:rPr>
      </w:pPr>
    </w:p>
    <w:p w:rsidR="00A974D1" w:rsidRDefault="00D17596" w:rsidP="002D317A">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lastRenderedPageBreak/>
        <w:t xml:space="preserve">In March 2019, the country experienced the worst weather induced disaster in the form of Cyclone Idai, which </w:t>
      </w:r>
      <w:r w:rsidR="00A974D1">
        <w:rPr>
          <w:rFonts w:ascii="Tahoma" w:hAnsi="Tahoma" w:cs="Tahoma"/>
          <w:sz w:val="24"/>
          <w:szCs w:val="24"/>
        </w:rPr>
        <w:t xml:space="preserve">caused </w:t>
      </w:r>
      <w:r>
        <w:rPr>
          <w:rFonts w:ascii="Tahoma" w:hAnsi="Tahoma" w:cs="Tahoma"/>
          <w:sz w:val="24"/>
          <w:szCs w:val="24"/>
        </w:rPr>
        <w:t xml:space="preserve">loss of lives, </w:t>
      </w:r>
      <w:r w:rsidR="00A974D1">
        <w:rPr>
          <w:rFonts w:ascii="Tahoma" w:hAnsi="Tahoma" w:cs="Tahoma"/>
          <w:sz w:val="24"/>
          <w:szCs w:val="24"/>
        </w:rPr>
        <w:t>infrastructure, food reserves and other assets, particularly, in Manicaland and Masvingo provinces.</w:t>
      </w:r>
    </w:p>
    <w:p w:rsidR="00A974D1" w:rsidRDefault="00A974D1" w:rsidP="00A974D1">
      <w:pPr>
        <w:pStyle w:val="ListParagraph"/>
        <w:spacing w:after="160" w:line="360" w:lineRule="auto"/>
        <w:ind w:left="567"/>
        <w:jc w:val="both"/>
        <w:rPr>
          <w:rFonts w:ascii="Tahoma" w:hAnsi="Tahoma" w:cs="Tahoma"/>
          <w:sz w:val="24"/>
          <w:szCs w:val="24"/>
        </w:rPr>
      </w:pPr>
    </w:p>
    <w:p w:rsidR="00A974D1" w:rsidRDefault="00202832" w:rsidP="002D317A">
      <w:pPr>
        <w:pStyle w:val="ListParagraph"/>
        <w:numPr>
          <w:ilvl w:val="0"/>
          <w:numId w:val="1"/>
        </w:numPr>
        <w:spacing w:after="160" w:line="360" w:lineRule="auto"/>
        <w:ind w:left="567" w:hanging="567"/>
        <w:jc w:val="both"/>
        <w:rPr>
          <w:rFonts w:ascii="Tahoma" w:hAnsi="Tahoma" w:cs="Tahoma"/>
          <w:sz w:val="24"/>
          <w:szCs w:val="24"/>
        </w:rPr>
      </w:pPr>
      <w:r w:rsidRPr="00A3474E">
        <w:rPr>
          <w:rFonts w:ascii="Tahoma" w:hAnsi="Tahoma" w:cs="Tahoma"/>
          <w:sz w:val="24"/>
          <w:szCs w:val="24"/>
        </w:rPr>
        <w:t xml:space="preserve">Government initially earmarked </w:t>
      </w:r>
      <w:r>
        <w:rPr>
          <w:rFonts w:ascii="Tahoma" w:hAnsi="Tahoma" w:cs="Tahoma"/>
          <w:sz w:val="24"/>
          <w:szCs w:val="24"/>
        </w:rPr>
        <w:t>RTGS$</w:t>
      </w:r>
      <w:r w:rsidRPr="00A3474E">
        <w:rPr>
          <w:rFonts w:ascii="Tahoma" w:hAnsi="Tahoma" w:cs="Tahoma"/>
          <w:sz w:val="24"/>
          <w:szCs w:val="24"/>
        </w:rPr>
        <w:t xml:space="preserve">50 million </w:t>
      </w:r>
      <w:r>
        <w:rPr>
          <w:rFonts w:ascii="Tahoma" w:hAnsi="Tahoma" w:cs="Tahoma"/>
          <w:sz w:val="24"/>
          <w:szCs w:val="24"/>
        </w:rPr>
        <w:t xml:space="preserve">towards </w:t>
      </w:r>
      <w:r w:rsidR="00A974D1">
        <w:rPr>
          <w:rFonts w:ascii="Tahoma" w:hAnsi="Tahoma" w:cs="Tahoma"/>
          <w:sz w:val="24"/>
          <w:szCs w:val="24"/>
        </w:rPr>
        <w:t xml:space="preserve">mitigating the impact of </w:t>
      </w:r>
      <w:r w:rsidRPr="00A974D1">
        <w:rPr>
          <w:rFonts w:ascii="Tahoma" w:hAnsi="Tahoma" w:cs="Tahoma"/>
          <w:sz w:val="24"/>
          <w:szCs w:val="24"/>
        </w:rPr>
        <w:t>Cyclone Idai</w:t>
      </w:r>
      <w:r w:rsidRPr="00E23D4F">
        <w:rPr>
          <w:rFonts w:ascii="Tahoma" w:hAnsi="Tahoma" w:cs="Tahoma"/>
          <w:i/>
          <w:sz w:val="24"/>
          <w:szCs w:val="24"/>
        </w:rPr>
        <w:t xml:space="preserve"> </w:t>
      </w:r>
      <w:r w:rsidR="00A974D1">
        <w:rPr>
          <w:rFonts w:ascii="Tahoma" w:hAnsi="Tahoma" w:cs="Tahoma"/>
          <w:sz w:val="24"/>
          <w:szCs w:val="24"/>
        </w:rPr>
        <w:t xml:space="preserve">and these resources targeted welfare of survivors, infrastructure rehabilitation in the areas of roads, bridges, water and sanitation, schools and health facilities, among others. The above allocation </w:t>
      </w:r>
      <w:r>
        <w:rPr>
          <w:rFonts w:ascii="Tahoma" w:hAnsi="Tahoma" w:cs="Tahoma"/>
          <w:sz w:val="24"/>
          <w:szCs w:val="24"/>
        </w:rPr>
        <w:t xml:space="preserve">has since been </w:t>
      </w:r>
      <w:r w:rsidRPr="00A3474E">
        <w:rPr>
          <w:rFonts w:ascii="Tahoma" w:hAnsi="Tahoma" w:cs="Tahoma"/>
          <w:sz w:val="24"/>
          <w:szCs w:val="24"/>
        </w:rPr>
        <w:t xml:space="preserve">increased to </w:t>
      </w:r>
      <w:r>
        <w:rPr>
          <w:rFonts w:ascii="Tahoma" w:hAnsi="Tahoma" w:cs="Tahoma"/>
          <w:sz w:val="24"/>
          <w:szCs w:val="24"/>
        </w:rPr>
        <w:t>RTGS$</w:t>
      </w:r>
      <w:r w:rsidRPr="00A3474E">
        <w:rPr>
          <w:rFonts w:ascii="Tahoma" w:hAnsi="Tahoma" w:cs="Tahoma"/>
          <w:sz w:val="24"/>
          <w:szCs w:val="24"/>
        </w:rPr>
        <w:t>100</w:t>
      </w:r>
      <w:r w:rsidR="00A974D1">
        <w:rPr>
          <w:rFonts w:ascii="Tahoma" w:hAnsi="Tahoma" w:cs="Tahoma"/>
          <w:sz w:val="24"/>
          <w:szCs w:val="24"/>
        </w:rPr>
        <w:t xml:space="preserve"> </w:t>
      </w:r>
      <w:r w:rsidRPr="00A3474E">
        <w:rPr>
          <w:rFonts w:ascii="Tahoma" w:hAnsi="Tahoma" w:cs="Tahoma"/>
          <w:sz w:val="24"/>
          <w:szCs w:val="24"/>
        </w:rPr>
        <w:t>million to cover the emergency requirements</w:t>
      </w:r>
      <w:r w:rsidR="00A974D1">
        <w:rPr>
          <w:rFonts w:ascii="Tahoma" w:hAnsi="Tahoma" w:cs="Tahoma"/>
          <w:sz w:val="24"/>
          <w:szCs w:val="24"/>
        </w:rPr>
        <w:t>.</w:t>
      </w:r>
      <w:r w:rsidRPr="00A3474E">
        <w:rPr>
          <w:rFonts w:ascii="Tahoma" w:hAnsi="Tahoma" w:cs="Tahoma"/>
          <w:sz w:val="24"/>
          <w:szCs w:val="24"/>
        </w:rPr>
        <w:t xml:space="preserve"> </w:t>
      </w:r>
    </w:p>
    <w:p w:rsidR="00A974D1" w:rsidRPr="00A974D1" w:rsidRDefault="00A974D1" w:rsidP="00A974D1">
      <w:pPr>
        <w:pStyle w:val="ListParagraph"/>
        <w:rPr>
          <w:rFonts w:ascii="Tahoma" w:hAnsi="Tahoma" w:cs="Tahoma"/>
          <w:sz w:val="24"/>
          <w:szCs w:val="24"/>
        </w:rPr>
      </w:pPr>
    </w:p>
    <w:p w:rsidR="002D317A" w:rsidRDefault="00A974D1" w:rsidP="002D317A">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Government is also grateful for complementary support received from various development partners, local institutions and the public and the international community at large.</w:t>
      </w:r>
    </w:p>
    <w:p w:rsidR="008A2582" w:rsidRPr="008A2582" w:rsidRDefault="008A2582" w:rsidP="008A2582">
      <w:pPr>
        <w:pStyle w:val="ListParagraph"/>
        <w:rPr>
          <w:rFonts w:ascii="Tahoma" w:hAnsi="Tahoma" w:cs="Tahoma"/>
          <w:sz w:val="24"/>
          <w:szCs w:val="24"/>
        </w:rPr>
      </w:pPr>
    </w:p>
    <w:p w:rsidR="008A2582" w:rsidRPr="008A2582" w:rsidRDefault="008A2582" w:rsidP="008A2582">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 xml:space="preserve">Furthermore, </w:t>
      </w:r>
      <w:r w:rsidRPr="008A2582">
        <w:rPr>
          <w:rFonts w:ascii="Tahoma" w:hAnsi="Tahoma" w:cs="Tahoma"/>
          <w:sz w:val="24"/>
          <w:szCs w:val="24"/>
        </w:rPr>
        <w:t>given the severity of the disaster, the President has since launched a costed International Appeal amounting to US$612.6 million in order to complement Government efforts towards restoration of livelihoods.</w:t>
      </w:r>
    </w:p>
    <w:p w:rsidR="008A2582" w:rsidRPr="00007A06" w:rsidRDefault="008A2582" w:rsidP="008A2582">
      <w:pPr>
        <w:pStyle w:val="ListParagraph"/>
        <w:spacing w:after="160" w:line="360" w:lineRule="auto"/>
        <w:ind w:left="567"/>
        <w:jc w:val="both"/>
        <w:rPr>
          <w:rFonts w:ascii="Tahoma" w:hAnsi="Tahoma" w:cs="Tahoma"/>
          <w:sz w:val="24"/>
          <w:szCs w:val="24"/>
        </w:rPr>
      </w:pPr>
    </w:p>
    <w:p w:rsidR="002D317A" w:rsidRPr="00F321B7" w:rsidRDefault="002D317A" w:rsidP="0046664B">
      <w:pPr>
        <w:pStyle w:val="Heading3"/>
        <w:ind w:firstLine="567"/>
        <w:rPr>
          <w:rFonts w:ascii="Tahoma" w:hAnsi="Tahoma" w:cs="Tahoma"/>
          <w:i/>
          <w:color w:val="auto"/>
        </w:rPr>
      </w:pPr>
      <w:bookmarkStart w:id="23" w:name="_Toc525651868"/>
      <w:bookmarkStart w:id="24" w:name="_Toc8301945"/>
      <w:r w:rsidRPr="00F321B7">
        <w:rPr>
          <w:rFonts w:ascii="Tahoma" w:hAnsi="Tahoma" w:cs="Tahoma"/>
          <w:i/>
          <w:color w:val="auto"/>
        </w:rPr>
        <w:t xml:space="preserve">Budget </w:t>
      </w:r>
      <w:bookmarkEnd w:id="23"/>
      <w:r w:rsidRPr="00F321B7">
        <w:rPr>
          <w:rFonts w:ascii="Tahoma" w:hAnsi="Tahoma" w:cs="Tahoma"/>
          <w:i/>
          <w:color w:val="auto"/>
        </w:rPr>
        <w:t>Balance</w:t>
      </w:r>
      <w:bookmarkEnd w:id="24"/>
      <w:r w:rsidRPr="00F321B7">
        <w:rPr>
          <w:rFonts w:ascii="Tahoma" w:hAnsi="Tahoma" w:cs="Tahoma"/>
          <w:i/>
          <w:color w:val="auto"/>
        </w:rPr>
        <w:t xml:space="preserve"> </w:t>
      </w:r>
    </w:p>
    <w:p w:rsidR="002D317A" w:rsidRPr="00B138B5" w:rsidRDefault="002D317A" w:rsidP="002D317A">
      <w:pPr>
        <w:spacing w:line="360" w:lineRule="auto"/>
        <w:jc w:val="both"/>
        <w:rPr>
          <w:rFonts w:ascii="Tahoma" w:hAnsi="Tahoma" w:cs="Tahoma"/>
          <w:sz w:val="24"/>
          <w:szCs w:val="24"/>
        </w:rPr>
      </w:pPr>
    </w:p>
    <w:p w:rsidR="002D317A" w:rsidRPr="00B138B5" w:rsidRDefault="002D317A" w:rsidP="002D317A">
      <w:pPr>
        <w:pStyle w:val="ListParagraph"/>
        <w:numPr>
          <w:ilvl w:val="0"/>
          <w:numId w:val="1"/>
        </w:numPr>
        <w:spacing w:after="160" w:line="360" w:lineRule="auto"/>
        <w:ind w:left="567" w:hanging="567"/>
        <w:jc w:val="both"/>
        <w:rPr>
          <w:rFonts w:ascii="Tahoma" w:hAnsi="Tahoma" w:cs="Tahoma"/>
          <w:sz w:val="24"/>
          <w:szCs w:val="24"/>
        </w:rPr>
      </w:pPr>
      <w:r w:rsidRPr="00B138B5">
        <w:rPr>
          <w:rFonts w:ascii="Tahoma" w:hAnsi="Tahoma" w:cs="Tahoma"/>
          <w:sz w:val="24"/>
          <w:szCs w:val="24"/>
        </w:rPr>
        <w:t xml:space="preserve">The budget balance for the period January to March was a surplus </w:t>
      </w:r>
      <w:r w:rsidR="009716C8">
        <w:rPr>
          <w:rFonts w:ascii="Tahoma" w:hAnsi="Tahoma" w:cs="Tahoma"/>
          <w:sz w:val="24"/>
          <w:szCs w:val="24"/>
        </w:rPr>
        <w:t xml:space="preserve">of </w:t>
      </w:r>
      <w:r w:rsidRPr="00B138B5">
        <w:rPr>
          <w:rFonts w:ascii="Tahoma" w:hAnsi="Tahoma" w:cs="Tahoma"/>
          <w:sz w:val="24"/>
          <w:szCs w:val="24"/>
        </w:rPr>
        <w:t>$4</w:t>
      </w:r>
      <w:r>
        <w:rPr>
          <w:rFonts w:ascii="Tahoma" w:hAnsi="Tahoma" w:cs="Tahoma"/>
          <w:sz w:val="24"/>
          <w:szCs w:val="24"/>
        </w:rPr>
        <w:t>43.1</w:t>
      </w:r>
      <w:r w:rsidRPr="00B138B5">
        <w:rPr>
          <w:rFonts w:ascii="Tahoma" w:hAnsi="Tahoma" w:cs="Tahoma"/>
          <w:sz w:val="24"/>
          <w:szCs w:val="24"/>
        </w:rPr>
        <w:t xml:space="preserve"> million, against a target of $78.2 million</w:t>
      </w:r>
      <w:r w:rsidR="009716C8">
        <w:rPr>
          <w:rFonts w:ascii="Tahoma" w:hAnsi="Tahoma" w:cs="Tahoma"/>
          <w:sz w:val="24"/>
          <w:szCs w:val="24"/>
        </w:rPr>
        <w:t xml:space="preserve">, indicating a major shift in the management of central government finances from deficits to surpluses. </w:t>
      </w:r>
    </w:p>
    <w:p w:rsidR="002D317A" w:rsidRPr="005E23E9" w:rsidRDefault="002D317A" w:rsidP="002D317A">
      <w:pPr>
        <w:pStyle w:val="ListParagraph"/>
        <w:spacing w:after="160" w:line="360" w:lineRule="auto"/>
        <w:ind w:left="567"/>
        <w:jc w:val="both"/>
        <w:rPr>
          <w:rFonts w:ascii="Tahoma" w:hAnsi="Tahoma" w:cs="Tahoma"/>
          <w:sz w:val="24"/>
          <w:szCs w:val="28"/>
        </w:rPr>
      </w:pPr>
    </w:p>
    <w:p w:rsidR="002D317A" w:rsidRPr="005E23E9" w:rsidRDefault="002D317A" w:rsidP="00F321B7">
      <w:pPr>
        <w:spacing w:line="360" w:lineRule="auto"/>
        <w:ind w:firstLine="567"/>
        <w:jc w:val="both"/>
        <w:rPr>
          <w:rFonts w:ascii="Tahoma" w:hAnsi="Tahoma" w:cs="Tahoma"/>
          <w:b/>
          <w:sz w:val="24"/>
          <w:szCs w:val="28"/>
        </w:rPr>
      </w:pPr>
      <w:r w:rsidRPr="005E23E9">
        <w:rPr>
          <w:rFonts w:ascii="Tahoma" w:hAnsi="Tahoma" w:cs="Tahoma"/>
          <w:b/>
          <w:sz w:val="24"/>
          <w:szCs w:val="28"/>
        </w:rPr>
        <w:t xml:space="preserve">Budget Deficit: Jan – </w:t>
      </w:r>
      <w:r>
        <w:rPr>
          <w:rFonts w:ascii="Tahoma" w:hAnsi="Tahoma" w:cs="Tahoma"/>
          <w:b/>
          <w:sz w:val="24"/>
          <w:szCs w:val="28"/>
        </w:rPr>
        <w:t>Mar 2019</w:t>
      </w:r>
    </w:p>
    <w:p w:rsidR="002D317A" w:rsidRPr="005E23E9" w:rsidRDefault="002D317A" w:rsidP="00F321B7">
      <w:pPr>
        <w:spacing w:after="0" w:line="360" w:lineRule="auto"/>
        <w:ind w:left="567"/>
        <w:jc w:val="both"/>
        <w:rPr>
          <w:rFonts w:ascii="Tahoma" w:hAnsi="Tahoma" w:cs="Tahoma"/>
          <w:sz w:val="24"/>
          <w:szCs w:val="28"/>
        </w:rPr>
      </w:pPr>
      <w:r>
        <w:rPr>
          <w:noProof/>
          <w:lang w:val="en-ZW" w:eastAsia="en-ZW"/>
        </w:rPr>
        <w:lastRenderedPageBreak/>
        <w:drawing>
          <wp:inline distT="0" distB="0" distL="0" distR="0" wp14:anchorId="08328158" wp14:editId="1498CD30">
            <wp:extent cx="4814371" cy="2743200"/>
            <wp:effectExtent l="0" t="0" r="571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D317A" w:rsidRPr="005E23E9" w:rsidRDefault="002D317A" w:rsidP="00F321B7">
      <w:pPr>
        <w:spacing w:line="360" w:lineRule="auto"/>
        <w:ind w:firstLine="567"/>
        <w:jc w:val="both"/>
        <w:rPr>
          <w:rFonts w:ascii="Tahoma" w:hAnsi="Tahoma" w:cs="Tahoma"/>
          <w:i/>
          <w:sz w:val="18"/>
          <w:szCs w:val="20"/>
        </w:rPr>
      </w:pPr>
      <w:r w:rsidRPr="005E23E9">
        <w:rPr>
          <w:rFonts w:ascii="Tahoma" w:hAnsi="Tahoma" w:cs="Tahoma"/>
          <w:i/>
          <w:sz w:val="18"/>
          <w:szCs w:val="20"/>
        </w:rPr>
        <w:t>Source: Ministry of Finance &amp; Economic Development-Budgets</w:t>
      </w:r>
    </w:p>
    <w:p w:rsidR="002D317A" w:rsidRDefault="002D317A" w:rsidP="002D317A">
      <w:pPr>
        <w:spacing w:line="360" w:lineRule="auto"/>
        <w:jc w:val="both"/>
        <w:rPr>
          <w:rFonts w:ascii="Tahoma" w:hAnsi="Tahoma" w:cs="Tahoma"/>
          <w:sz w:val="24"/>
          <w:szCs w:val="24"/>
        </w:rPr>
      </w:pPr>
    </w:p>
    <w:p w:rsidR="00396603" w:rsidRPr="009716C8" w:rsidRDefault="009716C8" w:rsidP="009716C8">
      <w:pPr>
        <w:pStyle w:val="ListParagraph"/>
        <w:numPr>
          <w:ilvl w:val="0"/>
          <w:numId w:val="1"/>
        </w:numPr>
        <w:spacing w:after="160" w:line="360" w:lineRule="auto"/>
        <w:ind w:left="567" w:hanging="567"/>
        <w:jc w:val="both"/>
        <w:rPr>
          <w:rFonts w:ascii="Tahoma" w:eastAsiaTheme="minorEastAsia" w:hAnsi="Tahoma" w:cs="Tahoma"/>
          <w:kern w:val="24"/>
          <w:sz w:val="24"/>
          <w:szCs w:val="24"/>
          <w:lang w:eastAsia="en-GB"/>
        </w:rPr>
      </w:pPr>
      <w:r>
        <w:rPr>
          <w:rFonts w:ascii="Tahoma" w:eastAsiaTheme="minorEastAsia" w:hAnsi="Tahoma" w:cs="Tahoma"/>
          <w:kern w:val="24"/>
          <w:sz w:val="24"/>
          <w:szCs w:val="24"/>
          <w:lang w:eastAsia="en-GB"/>
        </w:rPr>
        <w:t>As a result, since January 2019, no Treasury Bills nor the overdraft facility were utilised to finance the budget. The Treasury Bill issuances amounting to</w:t>
      </w:r>
      <w:r w:rsidR="00396603" w:rsidRPr="009716C8">
        <w:rPr>
          <w:rFonts w:ascii="Tahoma" w:eastAsiaTheme="minorEastAsia" w:hAnsi="Tahoma" w:cs="Tahoma"/>
          <w:kern w:val="24"/>
          <w:sz w:val="24"/>
          <w:szCs w:val="24"/>
          <w:lang w:eastAsia="en-GB"/>
        </w:rPr>
        <w:t xml:space="preserve"> </w:t>
      </w:r>
      <w:r w:rsidRPr="009716C8">
        <w:rPr>
          <w:rFonts w:ascii="Tahoma" w:eastAsiaTheme="minorEastAsia" w:hAnsi="Tahoma" w:cs="Tahoma"/>
          <w:kern w:val="24"/>
          <w:sz w:val="24"/>
          <w:szCs w:val="24"/>
          <w:lang w:eastAsia="en-GB"/>
        </w:rPr>
        <w:t xml:space="preserve">RTGS$180 million were </w:t>
      </w:r>
      <w:r w:rsidR="00396603" w:rsidRPr="009716C8">
        <w:rPr>
          <w:rFonts w:ascii="Tahoma" w:eastAsiaTheme="minorEastAsia" w:hAnsi="Tahoma" w:cs="Tahoma"/>
          <w:kern w:val="24"/>
          <w:sz w:val="24"/>
          <w:szCs w:val="24"/>
          <w:lang w:eastAsia="en-GB"/>
        </w:rPr>
        <w:t xml:space="preserve">for purposes of restructuring </w:t>
      </w:r>
      <w:r>
        <w:rPr>
          <w:rFonts w:ascii="Tahoma" w:eastAsiaTheme="minorEastAsia" w:hAnsi="Tahoma" w:cs="Tahoma"/>
          <w:kern w:val="24"/>
          <w:sz w:val="24"/>
          <w:szCs w:val="24"/>
          <w:lang w:eastAsia="en-GB"/>
        </w:rPr>
        <w:t xml:space="preserve">previous years </w:t>
      </w:r>
      <w:r w:rsidRPr="009716C8">
        <w:rPr>
          <w:rFonts w:ascii="Tahoma" w:eastAsiaTheme="minorEastAsia" w:hAnsi="Tahoma" w:cs="Tahoma"/>
          <w:kern w:val="24"/>
          <w:sz w:val="24"/>
          <w:szCs w:val="24"/>
          <w:lang w:eastAsia="en-GB"/>
        </w:rPr>
        <w:t>‘maturing</w:t>
      </w:r>
      <w:r w:rsidR="00396603" w:rsidRPr="009716C8">
        <w:rPr>
          <w:rFonts w:ascii="Tahoma" w:eastAsiaTheme="minorEastAsia" w:hAnsi="Tahoma" w:cs="Tahoma"/>
          <w:kern w:val="24"/>
          <w:sz w:val="24"/>
          <w:szCs w:val="24"/>
          <w:lang w:eastAsia="en-GB"/>
        </w:rPr>
        <w:t xml:space="preserve"> debt.</w:t>
      </w:r>
    </w:p>
    <w:p w:rsidR="00396603" w:rsidRDefault="00396603" w:rsidP="00396603">
      <w:pPr>
        <w:spacing w:after="0" w:line="360" w:lineRule="auto"/>
        <w:ind w:left="567"/>
        <w:jc w:val="both"/>
        <w:rPr>
          <w:rFonts w:ascii="Tahoma" w:eastAsiaTheme="minorEastAsia" w:hAnsi="Tahoma" w:cs="Tahoma"/>
          <w:kern w:val="24"/>
          <w:sz w:val="24"/>
          <w:szCs w:val="24"/>
          <w:lang w:eastAsia="en-GB"/>
        </w:rPr>
      </w:pPr>
    </w:p>
    <w:p w:rsidR="00396603" w:rsidRDefault="00396603" w:rsidP="001F6C12">
      <w:pPr>
        <w:pStyle w:val="ListParagraph"/>
        <w:numPr>
          <w:ilvl w:val="0"/>
          <w:numId w:val="1"/>
        </w:numPr>
        <w:spacing w:after="160" w:line="360" w:lineRule="auto"/>
        <w:ind w:left="567" w:hanging="567"/>
        <w:jc w:val="both"/>
        <w:rPr>
          <w:rFonts w:ascii="Tahoma" w:eastAsiaTheme="minorEastAsia" w:hAnsi="Tahoma" w:cs="Tahoma"/>
          <w:kern w:val="24"/>
          <w:sz w:val="24"/>
          <w:szCs w:val="24"/>
          <w:lang w:eastAsia="en-GB"/>
        </w:rPr>
      </w:pPr>
      <w:r>
        <w:rPr>
          <w:rFonts w:ascii="Tahoma" w:eastAsiaTheme="minorEastAsia" w:hAnsi="Tahoma" w:cs="Tahoma"/>
          <w:kern w:val="24"/>
          <w:sz w:val="24"/>
          <w:szCs w:val="24"/>
          <w:lang w:eastAsia="en-GB"/>
        </w:rPr>
        <w:t xml:space="preserve">Treasury Bill issuances related to ZAMCO operations have also been frozen, as announced in my 2019 Budget Statement. </w:t>
      </w:r>
    </w:p>
    <w:p w:rsidR="00396603" w:rsidRDefault="00396603" w:rsidP="00396603">
      <w:pPr>
        <w:spacing w:after="0" w:line="360" w:lineRule="auto"/>
        <w:ind w:left="567"/>
        <w:jc w:val="both"/>
        <w:rPr>
          <w:rFonts w:ascii="Tahoma" w:eastAsiaTheme="minorEastAsia" w:hAnsi="Tahoma" w:cs="Tahoma"/>
          <w:kern w:val="24"/>
          <w:sz w:val="24"/>
          <w:szCs w:val="24"/>
          <w:lang w:eastAsia="en-GB"/>
        </w:rPr>
      </w:pPr>
    </w:p>
    <w:p w:rsidR="00396603" w:rsidRDefault="00396603" w:rsidP="001F6C12">
      <w:pPr>
        <w:pStyle w:val="ListParagraph"/>
        <w:numPr>
          <w:ilvl w:val="0"/>
          <w:numId w:val="1"/>
        </w:numPr>
        <w:spacing w:after="160" w:line="360" w:lineRule="auto"/>
        <w:ind w:left="567" w:hanging="567"/>
        <w:jc w:val="both"/>
      </w:pPr>
      <w:r w:rsidRPr="00386D3D">
        <w:rPr>
          <w:rFonts w:ascii="Tahoma" w:eastAsiaTheme="minorEastAsia" w:hAnsi="Tahoma" w:cs="Tahoma"/>
          <w:kern w:val="24"/>
          <w:sz w:val="24"/>
          <w:szCs w:val="24"/>
          <w:lang w:eastAsia="en-GB"/>
        </w:rPr>
        <w:t xml:space="preserve">With respect to implementation to the Treasury Bill Auction System, I envisage that this will now commence by the fourth quarter, due to the recent measures announced in the Monetary Policy Statement. This will allow the markets to settle.  </w:t>
      </w:r>
    </w:p>
    <w:p w:rsidR="00396603" w:rsidRPr="00373A8C" w:rsidRDefault="00396603" w:rsidP="002D317A">
      <w:pPr>
        <w:spacing w:line="360" w:lineRule="auto"/>
        <w:jc w:val="both"/>
        <w:rPr>
          <w:rFonts w:ascii="Tahoma" w:hAnsi="Tahoma" w:cs="Tahoma"/>
          <w:sz w:val="24"/>
          <w:szCs w:val="24"/>
        </w:rPr>
      </w:pPr>
    </w:p>
    <w:p w:rsidR="002D317A" w:rsidRPr="008E3AB3" w:rsidRDefault="002D317A" w:rsidP="008E3AB3">
      <w:pPr>
        <w:pStyle w:val="Heading3"/>
        <w:ind w:firstLine="567"/>
        <w:jc w:val="both"/>
        <w:rPr>
          <w:rFonts w:ascii="Tahoma" w:hAnsi="Tahoma" w:cs="Tahoma"/>
          <w:i/>
          <w:color w:val="auto"/>
        </w:rPr>
      </w:pPr>
      <w:bookmarkStart w:id="25" w:name="_Toc8301946"/>
      <w:r w:rsidRPr="008E3AB3">
        <w:rPr>
          <w:rFonts w:ascii="Tahoma" w:hAnsi="Tahoma" w:cs="Tahoma"/>
          <w:i/>
          <w:color w:val="auto"/>
        </w:rPr>
        <w:t>Domestic Debt</w:t>
      </w:r>
      <w:bookmarkEnd w:id="25"/>
    </w:p>
    <w:p w:rsidR="002D317A" w:rsidRPr="00373A8C" w:rsidRDefault="002D317A" w:rsidP="002D317A">
      <w:pPr>
        <w:pStyle w:val="ListParagraph"/>
        <w:spacing w:after="0" w:line="360" w:lineRule="auto"/>
        <w:jc w:val="both"/>
        <w:rPr>
          <w:rFonts w:ascii="Tahoma" w:hAnsi="Tahoma" w:cs="Tahoma"/>
          <w:sz w:val="24"/>
          <w:szCs w:val="24"/>
        </w:rPr>
      </w:pPr>
    </w:p>
    <w:p w:rsidR="002D317A" w:rsidRPr="00373A8C" w:rsidRDefault="002D317A" w:rsidP="002D317A">
      <w:pPr>
        <w:pStyle w:val="ListParagraph"/>
        <w:numPr>
          <w:ilvl w:val="0"/>
          <w:numId w:val="1"/>
        </w:numPr>
        <w:spacing w:after="160" w:line="360" w:lineRule="auto"/>
        <w:ind w:left="567" w:hanging="567"/>
        <w:jc w:val="both"/>
        <w:rPr>
          <w:rFonts w:ascii="Tahoma" w:hAnsi="Tahoma" w:cs="Tahoma"/>
          <w:sz w:val="24"/>
          <w:szCs w:val="24"/>
        </w:rPr>
      </w:pPr>
      <w:r w:rsidRPr="00373A8C">
        <w:rPr>
          <w:rFonts w:ascii="Tahoma" w:hAnsi="Tahoma" w:cs="Tahoma"/>
          <w:sz w:val="24"/>
          <w:szCs w:val="24"/>
        </w:rPr>
        <w:t xml:space="preserve">At the end of first three months of 2019, domestic debt stood at </w:t>
      </w:r>
      <w:r w:rsidRPr="00535615">
        <w:rPr>
          <w:rFonts w:ascii="Tahoma" w:hAnsi="Tahoma" w:cs="Tahoma"/>
          <w:sz w:val="24"/>
          <w:szCs w:val="24"/>
        </w:rPr>
        <w:t>$</w:t>
      </w:r>
      <w:r w:rsidR="00C153E7" w:rsidRPr="00535615">
        <w:rPr>
          <w:rFonts w:ascii="Tahoma" w:hAnsi="Tahoma" w:cs="Tahoma"/>
          <w:sz w:val="24"/>
          <w:szCs w:val="24"/>
        </w:rPr>
        <w:t xml:space="preserve">9.2 </w:t>
      </w:r>
      <w:r w:rsidRPr="00535615">
        <w:rPr>
          <w:rFonts w:ascii="Tahoma" w:hAnsi="Tahoma" w:cs="Tahoma"/>
          <w:sz w:val="24"/>
          <w:szCs w:val="24"/>
        </w:rPr>
        <w:t>billion</w:t>
      </w:r>
      <w:r w:rsidR="00535615">
        <w:rPr>
          <w:rFonts w:ascii="Tahoma" w:hAnsi="Tahoma" w:cs="Tahoma"/>
          <w:sz w:val="24"/>
          <w:szCs w:val="24"/>
        </w:rPr>
        <w:t xml:space="preserve">, down </w:t>
      </w:r>
      <w:r w:rsidRPr="008C698B">
        <w:rPr>
          <w:rFonts w:ascii="Tahoma" w:hAnsi="Tahoma" w:cs="Tahoma"/>
          <w:sz w:val="24"/>
          <w:szCs w:val="24"/>
        </w:rPr>
        <w:t xml:space="preserve">from </w:t>
      </w:r>
      <w:r w:rsidRPr="00535615">
        <w:rPr>
          <w:rFonts w:ascii="Tahoma" w:hAnsi="Tahoma" w:cs="Tahoma"/>
          <w:sz w:val="24"/>
          <w:szCs w:val="24"/>
        </w:rPr>
        <w:t>$</w:t>
      </w:r>
      <w:r w:rsidR="00C153E7" w:rsidRPr="00535615">
        <w:rPr>
          <w:rFonts w:ascii="Tahoma" w:hAnsi="Tahoma" w:cs="Tahoma"/>
          <w:sz w:val="24"/>
          <w:szCs w:val="24"/>
        </w:rPr>
        <w:t>9.6</w:t>
      </w:r>
      <w:r w:rsidRPr="00535615">
        <w:rPr>
          <w:rFonts w:ascii="Tahoma" w:hAnsi="Tahoma" w:cs="Tahoma"/>
          <w:sz w:val="24"/>
          <w:szCs w:val="24"/>
        </w:rPr>
        <w:t xml:space="preserve"> billion</w:t>
      </w:r>
      <w:r w:rsidRPr="008C698B">
        <w:rPr>
          <w:rFonts w:ascii="Tahoma" w:hAnsi="Tahoma" w:cs="Tahoma"/>
          <w:sz w:val="24"/>
          <w:szCs w:val="24"/>
        </w:rPr>
        <w:t xml:space="preserve"> </w:t>
      </w:r>
      <w:r w:rsidR="00535615">
        <w:rPr>
          <w:rFonts w:ascii="Tahoma" w:hAnsi="Tahoma" w:cs="Tahoma"/>
          <w:sz w:val="24"/>
          <w:szCs w:val="24"/>
        </w:rPr>
        <w:t>as at</w:t>
      </w:r>
      <w:r w:rsidRPr="008C698B">
        <w:rPr>
          <w:rFonts w:ascii="Tahoma" w:hAnsi="Tahoma" w:cs="Tahoma"/>
          <w:sz w:val="24"/>
          <w:szCs w:val="24"/>
        </w:rPr>
        <w:t xml:space="preserve"> </w:t>
      </w:r>
      <w:r w:rsidR="00535615">
        <w:rPr>
          <w:rFonts w:ascii="Tahoma" w:hAnsi="Tahoma" w:cs="Tahoma"/>
          <w:sz w:val="24"/>
          <w:szCs w:val="24"/>
        </w:rPr>
        <w:t xml:space="preserve">31 </w:t>
      </w:r>
      <w:r w:rsidRPr="008C698B">
        <w:rPr>
          <w:rFonts w:ascii="Tahoma" w:hAnsi="Tahoma" w:cs="Tahoma"/>
          <w:sz w:val="24"/>
          <w:szCs w:val="24"/>
        </w:rPr>
        <w:t>December 2018</w:t>
      </w:r>
      <w:r w:rsidRPr="00373A8C">
        <w:rPr>
          <w:rFonts w:ascii="Tahoma" w:hAnsi="Tahoma" w:cs="Tahoma"/>
          <w:sz w:val="24"/>
          <w:szCs w:val="24"/>
        </w:rPr>
        <w:t xml:space="preserve">. This represents </w:t>
      </w:r>
      <w:r w:rsidRPr="00535615">
        <w:rPr>
          <w:rFonts w:ascii="Tahoma" w:hAnsi="Tahoma" w:cs="Tahoma"/>
          <w:sz w:val="24"/>
          <w:szCs w:val="24"/>
        </w:rPr>
        <w:t>a $</w:t>
      </w:r>
      <w:r w:rsidR="00C153E7" w:rsidRPr="00535615">
        <w:rPr>
          <w:rFonts w:ascii="Tahoma" w:hAnsi="Tahoma" w:cs="Tahoma"/>
          <w:sz w:val="24"/>
          <w:szCs w:val="24"/>
        </w:rPr>
        <w:t>326</w:t>
      </w:r>
      <w:r w:rsidRPr="00535615">
        <w:rPr>
          <w:rFonts w:ascii="Tahoma" w:hAnsi="Tahoma" w:cs="Tahoma"/>
          <w:sz w:val="24"/>
          <w:szCs w:val="24"/>
        </w:rPr>
        <w:t xml:space="preserve"> million</w:t>
      </w:r>
      <w:r w:rsidRPr="00373A8C">
        <w:rPr>
          <w:rFonts w:ascii="Tahoma" w:hAnsi="Tahoma" w:cs="Tahoma"/>
          <w:sz w:val="24"/>
          <w:szCs w:val="24"/>
        </w:rPr>
        <w:t xml:space="preserve"> decrease in domestic debt. </w:t>
      </w:r>
    </w:p>
    <w:p w:rsidR="002D317A" w:rsidRPr="00373A8C" w:rsidRDefault="002D317A" w:rsidP="002D317A">
      <w:pPr>
        <w:pStyle w:val="ListParagraph"/>
        <w:spacing w:after="0" w:line="360" w:lineRule="auto"/>
        <w:ind w:left="0"/>
        <w:jc w:val="both"/>
        <w:rPr>
          <w:rFonts w:ascii="Tahoma" w:hAnsi="Tahoma" w:cs="Tahoma"/>
          <w:sz w:val="24"/>
          <w:szCs w:val="24"/>
        </w:rPr>
      </w:pPr>
    </w:p>
    <w:p w:rsidR="002D317A" w:rsidRPr="00535615" w:rsidRDefault="002D317A" w:rsidP="00673732">
      <w:pPr>
        <w:pStyle w:val="ListParagraph"/>
        <w:numPr>
          <w:ilvl w:val="0"/>
          <w:numId w:val="1"/>
        </w:numPr>
        <w:spacing w:after="160" w:line="360" w:lineRule="auto"/>
        <w:ind w:left="567" w:hanging="567"/>
        <w:jc w:val="both"/>
        <w:rPr>
          <w:rFonts w:ascii="Tahoma" w:hAnsi="Tahoma" w:cs="Tahoma"/>
          <w:sz w:val="24"/>
          <w:szCs w:val="24"/>
        </w:rPr>
      </w:pPr>
      <w:r w:rsidRPr="00535615">
        <w:rPr>
          <w:rFonts w:ascii="Tahoma" w:hAnsi="Tahoma" w:cs="Tahoma"/>
          <w:sz w:val="24"/>
          <w:szCs w:val="24"/>
        </w:rPr>
        <w:t xml:space="preserve">The decrease in the stock of debt </w:t>
      </w:r>
      <w:r w:rsidR="00535615" w:rsidRPr="00535615">
        <w:rPr>
          <w:rFonts w:ascii="Tahoma" w:hAnsi="Tahoma" w:cs="Tahoma"/>
          <w:sz w:val="24"/>
          <w:szCs w:val="24"/>
        </w:rPr>
        <w:t xml:space="preserve">was on account of debt </w:t>
      </w:r>
      <w:r w:rsidRPr="00535615">
        <w:rPr>
          <w:rFonts w:ascii="Tahoma" w:hAnsi="Tahoma" w:cs="Tahoma"/>
          <w:sz w:val="24"/>
          <w:szCs w:val="24"/>
        </w:rPr>
        <w:t>repayment</w:t>
      </w:r>
      <w:r w:rsidR="00535615" w:rsidRPr="00535615">
        <w:rPr>
          <w:rFonts w:ascii="Tahoma" w:hAnsi="Tahoma" w:cs="Tahoma"/>
          <w:sz w:val="24"/>
          <w:szCs w:val="24"/>
        </w:rPr>
        <w:t xml:space="preserve">s with minimal TB issuances </w:t>
      </w:r>
      <w:r w:rsidR="00604E59">
        <w:rPr>
          <w:rFonts w:ascii="Tahoma" w:hAnsi="Tahoma" w:cs="Tahoma"/>
          <w:sz w:val="24"/>
          <w:szCs w:val="24"/>
        </w:rPr>
        <w:t>of</w:t>
      </w:r>
      <w:r w:rsidR="00C153E7" w:rsidRPr="00535615">
        <w:rPr>
          <w:rFonts w:ascii="Tahoma" w:hAnsi="Tahoma" w:cs="Tahoma"/>
          <w:sz w:val="24"/>
          <w:szCs w:val="24"/>
        </w:rPr>
        <w:t xml:space="preserve"> $28 million </w:t>
      </w:r>
      <w:r w:rsidR="00604E59">
        <w:rPr>
          <w:rFonts w:ascii="Tahoma" w:hAnsi="Tahoma" w:cs="Tahoma"/>
          <w:sz w:val="24"/>
          <w:szCs w:val="24"/>
        </w:rPr>
        <w:t>for</w:t>
      </w:r>
      <w:r w:rsidR="00535615" w:rsidRPr="00535615">
        <w:rPr>
          <w:rFonts w:ascii="Tahoma" w:hAnsi="Tahoma" w:cs="Tahoma"/>
          <w:sz w:val="24"/>
          <w:szCs w:val="24"/>
        </w:rPr>
        <w:t xml:space="preserve"> cash flow management purpose</w:t>
      </w:r>
      <w:r w:rsidR="00604E59">
        <w:rPr>
          <w:rFonts w:ascii="Tahoma" w:hAnsi="Tahoma" w:cs="Tahoma"/>
          <w:sz w:val="24"/>
          <w:szCs w:val="24"/>
        </w:rPr>
        <w:t xml:space="preserve">s. </w:t>
      </w:r>
    </w:p>
    <w:p w:rsidR="002D317A" w:rsidRPr="00373A8C" w:rsidRDefault="002D317A" w:rsidP="002D317A">
      <w:pPr>
        <w:pStyle w:val="ListParagraph"/>
        <w:rPr>
          <w:rFonts w:ascii="Tahoma" w:hAnsi="Tahoma" w:cs="Tahoma"/>
          <w:sz w:val="24"/>
          <w:szCs w:val="24"/>
        </w:rPr>
      </w:pPr>
    </w:p>
    <w:p w:rsidR="002D317A" w:rsidRPr="008E3AB3" w:rsidRDefault="002D317A" w:rsidP="008E3AB3">
      <w:pPr>
        <w:pStyle w:val="Heading3"/>
        <w:ind w:firstLine="567"/>
        <w:jc w:val="both"/>
        <w:rPr>
          <w:rFonts w:ascii="Tahoma" w:hAnsi="Tahoma" w:cs="Tahoma"/>
          <w:i/>
          <w:color w:val="auto"/>
        </w:rPr>
      </w:pPr>
      <w:bookmarkStart w:id="26" w:name="_Toc8301947"/>
      <w:r w:rsidRPr="008E3AB3">
        <w:rPr>
          <w:rFonts w:ascii="Tahoma" w:hAnsi="Tahoma" w:cs="Tahoma"/>
          <w:i/>
          <w:color w:val="auto"/>
        </w:rPr>
        <w:t>External Debt</w:t>
      </w:r>
      <w:bookmarkEnd w:id="26"/>
    </w:p>
    <w:p w:rsidR="002D317A" w:rsidRPr="00373A8C" w:rsidRDefault="002D317A" w:rsidP="002D317A">
      <w:pPr>
        <w:rPr>
          <w:rFonts w:ascii="Tahoma" w:hAnsi="Tahoma" w:cs="Tahoma"/>
          <w:sz w:val="24"/>
          <w:szCs w:val="24"/>
          <w:lang w:val="x-none" w:eastAsia="x-none"/>
        </w:rPr>
      </w:pPr>
    </w:p>
    <w:p w:rsidR="002D317A" w:rsidRPr="00373A8C" w:rsidRDefault="002D317A" w:rsidP="002D317A">
      <w:pPr>
        <w:pStyle w:val="ListParagraph"/>
        <w:numPr>
          <w:ilvl w:val="0"/>
          <w:numId w:val="1"/>
        </w:numPr>
        <w:spacing w:after="160" w:line="360" w:lineRule="auto"/>
        <w:ind w:left="567" w:hanging="567"/>
        <w:jc w:val="both"/>
        <w:rPr>
          <w:rFonts w:ascii="Tahoma" w:hAnsi="Tahoma" w:cs="Tahoma"/>
          <w:sz w:val="24"/>
          <w:szCs w:val="24"/>
        </w:rPr>
      </w:pPr>
      <w:r w:rsidRPr="00373A8C">
        <w:rPr>
          <w:rFonts w:ascii="Tahoma" w:hAnsi="Tahoma" w:cs="Tahoma"/>
          <w:sz w:val="24"/>
          <w:szCs w:val="24"/>
        </w:rPr>
        <w:t xml:space="preserve">External debt stock stood at </w:t>
      </w:r>
      <w:r w:rsidRPr="00E568C4">
        <w:rPr>
          <w:rFonts w:ascii="Tahoma" w:hAnsi="Tahoma" w:cs="Tahoma"/>
          <w:sz w:val="24"/>
          <w:szCs w:val="24"/>
        </w:rPr>
        <w:t>US$</w:t>
      </w:r>
      <w:r w:rsidR="000E723E" w:rsidRPr="00E568C4">
        <w:rPr>
          <w:rFonts w:ascii="Tahoma" w:hAnsi="Tahoma" w:cs="Tahoma"/>
          <w:sz w:val="24"/>
          <w:szCs w:val="24"/>
        </w:rPr>
        <w:t>8.2</w:t>
      </w:r>
      <w:r w:rsidRPr="00E568C4">
        <w:rPr>
          <w:rFonts w:ascii="Tahoma" w:hAnsi="Tahoma" w:cs="Tahoma"/>
          <w:sz w:val="24"/>
          <w:szCs w:val="24"/>
        </w:rPr>
        <w:t xml:space="preserve"> billion</w:t>
      </w:r>
      <w:r w:rsidRPr="00373A8C">
        <w:rPr>
          <w:rFonts w:ascii="Tahoma" w:hAnsi="Tahoma" w:cs="Tahoma"/>
          <w:sz w:val="24"/>
          <w:szCs w:val="24"/>
        </w:rPr>
        <w:t xml:space="preserve"> at the end of March 2019 </w:t>
      </w:r>
    </w:p>
    <w:p w:rsidR="002D317A" w:rsidRPr="00373A8C" w:rsidRDefault="002D317A" w:rsidP="002D317A">
      <w:pPr>
        <w:pStyle w:val="ListParagraph"/>
        <w:spacing w:after="0" w:line="360" w:lineRule="auto"/>
        <w:ind w:left="0"/>
        <w:jc w:val="both"/>
        <w:rPr>
          <w:rFonts w:ascii="Tahoma" w:hAnsi="Tahoma" w:cs="Tahoma"/>
          <w:sz w:val="24"/>
          <w:szCs w:val="24"/>
        </w:rPr>
      </w:pPr>
    </w:p>
    <w:p w:rsidR="002D317A" w:rsidRPr="00373A8C" w:rsidRDefault="002D317A" w:rsidP="002D317A">
      <w:pPr>
        <w:pStyle w:val="ListParagraph"/>
        <w:numPr>
          <w:ilvl w:val="0"/>
          <w:numId w:val="1"/>
        </w:numPr>
        <w:spacing w:after="160" w:line="360" w:lineRule="auto"/>
        <w:ind w:left="567" w:hanging="567"/>
        <w:jc w:val="both"/>
        <w:rPr>
          <w:rFonts w:ascii="Tahoma" w:hAnsi="Tahoma" w:cs="Tahoma"/>
          <w:sz w:val="24"/>
          <w:szCs w:val="24"/>
        </w:rPr>
      </w:pPr>
      <w:r w:rsidRPr="00373A8C">
        <w:rPr>
          <w:rFonts w:ascii="Tahoma" w:hAnsi="Tahoma" w:cs="Tahoma"/>
          <w:sz w:val="24"/>
          <w:szCs w:val="24"/>
        </w:rPr>
        <w:t xml:space="preserve">The bulk of the external debt is in arrears at </w:t>
      </w:r>
      <w:r w:rsidR="000E723E" w:rsidRPr="00E568C4">
        <w:rPr>
          <w:rFonts w:ascii="Tahoma" w:hAnsi="Tahoma" w:cs="Tahoma"/>
          <w:sz w:val="24"/>
          <w:szCs w:val="24"/>
        </w:rPr>
        <w:t>71</w:t>
      </w:r>
      <w:r w:rsidRPr="00E568C4">
        <w:rPr>
          <w:rFonts w:ascii="Tahoma" w:hAnsi="Tahoma" w:cs="Tahoma"/>
          <w:sz w:val="24"/>
          <w:szCs w:val="24"/>
        </w:rPr>
        <w:t>%</w:t>
      </w:r>
      <w:r w:rsidRPr="00373A8C">
        <w:rPr>
          <w:rFonts w:ascii="Tahoma" w:hAnsi="Tahoma" w:cs="Tahoma"/>
          <w:sz w:val="24"/>
          <w:szCs w:val="24"/>
        </w:rPr>
        <w:t xml:space="preserve"> of the total external debt, a reflection on the country’s challenges to create enough fiscal space that will allow the Government to repay its external obligations as well the foreign currency shortages bedevilling the economy. </w:t>
      </w:r>
    </w:p>
    <w:p w:rsidR="002D317A" w:rsidRPr="00373A8C" w:rsidRDefault="002D317A" w:rsidP="002D317A">
      <w:pPr>
        <w:pStyle w:val="ListParagraph"/>
        <w:spacing w:after="0" w:line="360" w:lineRule="auto"/>
        <w:jc w:val="both"/>
        <w:rPr>
          <w:rFonts w:ascii="Tahoma" w:hAnsi="Tahoma" w:cs="Tahoma"/>
          <w:sz w:val="24"/>
          <w:szCs w:val="24"/>
        </w:rPr>
      </w:pPr>
    </w:p>
    <w:p w:rsidR="002D317A" w:rsidRPr="00E57812" w:rsidRDefault="002D317A" w:rsidP="002D317A">
      <w:pPr>
        <w:pStyle w:val="ListParagraph"/>
        <w:numPr>
          <w:ilvl w:val="0"/>
          <w:numId w:val="1"/>
        </w:numPr>
        <w:spacing w:after="160" w:line="360" w:lineRule="auto"/>
        <w:ind w:left="567" w:hanging="567"/>
        <w:jc w:val="both"/>
        <w:rPr>
          <w:rFonts w:ascii="Tahoma" w:hAnsi="Tahoma" w:cs="Tahoma"/>
          <w:sz w:val="24"/>
          <w:szCs w:val="24"/>
          <w:lang w:val="x-none" w:eastAsia="x-none"/>
        </w:rPr>
      </w:pPr>
      <w:r w:rsidRPr="00373A8C">
        <w:rPr>
          <w:rFonts w:ascii="Tahoma" w:hAnsi="Tahoma" w:cs="Tahoma"/>
          <w:sz w:val="24"/>
          <w:szCs w:val="24"/>
        </w:rPr>
        <w:t xml:space="preserve">External debt owed to bilateral creditors at </w:t>
      </w:r>
      <w:r w:rsidRPr="00E568C4">
        <w:rPr>
          <w:rFonts w:ascii="Tahoma" w:hAnsi="Tahoma" w:cs="Tahoma"/>
          <w:sz w:val="24"/>
          <w:szCs w:val="24"/>
        </w:rPr>
        <w:t>US$</w:t>
      </w:r>
      <w:r w:rsidR="000E723E">
        <w:rPr>
          <w:rFonts w:ascii="Tahoma" w:hAnsi="Tahoma" w:cs="Tahoma"/>
          <w:sz w:val="24"/>
          <w:szCs w:val="24"/>
        </w:rPr>
        <w:t>5.6</w:t>
      </w:r>
      <w:r w:rsidRPr="00373A8C">
        <w:rPr>
          <w:rFonts w:ascii="Tahoma" w:hAnsi="Tahoma" w:cs="Tahoma"/>
          <w:sz w:val="24"/>
          <w:szCs w:val="24"/>
        </w:rPr>
        <w:t xml:space="preserve"> </w:t>
      </w:r>
      <w:r w:rsidR="000E723E">
        <w:rPr>
          <w:rFonts w:ascii="Tahoma" w:hAnsi="Tahoma" w:cs="Tahoma"/>
          <w:sz w:val="24"/>
          <w:szCs w:val="24"/>
        </w:rPr>
        <w:t>b</w:t>
      </w:r>
      <w:r w:rsidRPr="00373A8C">
        <w:rPr>
          <w:rFonts w:ascii="Tahoma" w:hAnsi="Tahoma" w:cs="Tahoma"/>
          <w:sz w:val="24"/>
          <w:szCs w:val="24"/>
        </w:rPr>
        <w:t xml:space="preserve">illion constitute the largest share of external debt. Multilateral creditors, which are the IMF, World Bank </w:t>
      </w:r>
      <w:r w:rsidR="00AA4384">
        <w:rPr>
          <w:rFonts w:ascii="Tahoma" w:hAnsi="Tahoma" w:cs="Tahoma"/>
          <w:sz w:val="24"/>
          <w:szCs w:val="24"/>
        </w:rPr>
        <w:t>and African Development Bank were</w:t>
      </w:r>
      <w:r w:rsidRPr="00373A8C">
        <w:rPr>
          <w:rFonts w:ascii="Tahoma" w:hAnsi="Tahoma" w:cs="Tahoma"/>
          <w:sz w:val="24"/>
          <w:szCs w:val="24"/>
        </w:rPr>
        <w:t xml:space="preserve"> owed </w:t>
      </w:r>
      <w:r w:rsidRPr="00E568C4">
        <w:rPr>
          <w:rFonts w:ascii="Tahoma" w:hAnsi="Tahoma" w:cs="Tahoma"/>
          <w:sz w:val="24"/>
          <w:szCs w:val="24"/>
        </w:rPr>
        <w:t>US$</w:t>
      </w:r>
      <w:r w:rsidR="002F2465" w:rsidRPr="00E568C4">
        <w:rPr>
          <w:rFonts w:ascii="Tahoma" w:hAnsi="Tahoma" w:cs="Tahoma"/>
          <w:sz w:val="24"/>
          <w:szCs w:val="24"/>
        </w:rPr>
        <w:t>2.6</w:t>
      </w:r>
      <w:r w:rsidRPr="00E568C4">
        <w:rPr>
          <w:rFonts w:ascii="Tahoma" w:hAnsi="Tahoma" w:cs="Tahoma"/>
          <w:sz w:val="24"/>
          <w:szCs w:val="24"/>
        </w:rPr>
        <w:t xml:space="preserve"> </w:t>
      </w:r>
      <w:r w:rsidR="002F2465">
        <w:rPr>
          <w:rFonts w:ascii="Tahoma" w:hAnsi="Tahoma" w:cs="Tahoma"/>
          <w:sz w:val="24"/>
          <w:szCs w:val="24"/>
        </w:rPr>
        <w:t>b</w:t>
      </w:r>
      <w:r w:rsidRPr="00373A8C">
        <w:rPr>
          <w:rFonts w:ascii="Tahoma" w:hAnsi="Tahoma" w:cs="Tahoma"/>
          <w:sz w:val="24"/>
          <w:szCs w:val="24"/>
        </w:rPr>
        <w:t xml:space="preserve">illion as at 31 March 2019. </w:t>
      </w:r>
    </w:p>
    <w:p w:rsidR="00E57812" w:rsidRPr="002E08B1" w:rsidRDefault="00E57812" w:rsidP="00E57812">
      <w:pPr>
        <w:pStyle w:val="ListParagraph"/>
        <w:rPr>
          <w:rFonts w:ascii="Tahoma" w:hAnsi="Tahoma" w:cs="Tahoma"/>
          <w:sz w:val="24"/>
          <w:szCs w:val="24"/>
          <w:lang w:val="x-none" w:eastAsia="x-none"/>
        </w:rPr>
      </w:pPr>
    </w:p>
    <w:p w:rsidR="00E57812" w:rsidRPr="002E08B1" w:rsidRDefault="00E568C4" w:rsidP="002D317A">
      <w:pPr>
        <w:pStyle w:val="ListParagraph"/>
        <w:numPr>
          <w:ilvl w:val="0"/>
          <w:numId w:val="1"/>
        </w:numPr>
        <w:spacing w:after="160" w:line="360" w:lineRule="auto"/>
        <w:ind w:left="567" w:hanging="567"/>
        <w:jc w:val="both"/>
        <w:rPr>
          <w:rFonts w:ascii="Tahoma" w:hAnsi="Tahoma" w:cs="Tahoma"/>
          <w:sz w:val="24"/>
          <w:szCs w:val="24"/>
          <w:lang w:val="x-none" w:eastAsia="x-none"/>
        </w:rPr>
      </w:pPr>
      <w:r w:rsidRPr="002E08B1">
        <w:rPr>
          <w:rFonts w:ascii="Tahoma" w:hAnsi="Tahoma" w:cs="Tahoma"/>
          <w:sz w:val="24"/>
          <w:szCs w:val="24"/>
          <w:lang w:eastAsia="x-none"/>
        </w:rPr>
        <w:t xml:space="preserve">Government continue to engage various creditors for arrears clearance, an initiative which will also open up access to new developmental financing. However, it is also important to note that the country’s capacity to clear </w:t>
      </w:r>
      <w:r w:rsidR="002E08B1" w:rsidRPr="002E08B1">
        <w:rPr>
          <w:rFonts w:ascii="Tahoma" w:hAnsi="Tahoma" w:cs="Tahoma"/>
          <w:sz w:val="24"/>
          <w:szCs w:val="24"/>
          <w:lang w:eastAsia="x-none"/>
        </w:rPr>
        <w:t>old</w:t>
      </w:r>
      <w:r w:rsidRPr="002E08B1">
        <w:rPr>
          <w:rFonts w:ascii="Tahoma" w:hAnsi="Tahoma" w:cs="Tahoma"/>
          <w:sz w:val="24"/>
          <w:szCs w:val="24"/>
          <w:lang w:eastAsia="x-none"/>
        </w:rPr>
        <w:t xml:space="preserve"> arrears and meet </w:t>
      </w:r>
      <w:r w:rsidR="002E08B1" w:rsidRPr="002E08B1">
        <w:rPr>
          <w:rFonts w:ascii="Tahoma" w:hAnsi="Tahoma" w:cs="Tahoma"/>
          <w:sz w:val="24"/>
          <w:szCs w:val="24"/>
          <w:lang w:eastAsia="x-none"/>
        </w:rPr>
        <w:t xml:space="preserve">obligations arising from new financing hinges on </w:t>
      </w:r>
      <w:r w:rsidR="00861104">
        <w:rPr>
          <w:rFonts w:ascii="Tahoma" w:hAnsi="Tahoma" w:cs="Tahoma"/>
          <w:sz w:val="24"/>
          <w:szCs w:val="24"/>
          <w:lang w:eastAsia="x-none"/>
        </w:rPr>
        <w:t xml:space="preserve">the strength of the economy which in turn requires </w:t>
      </w:r>
      <w:r w:rsidR="002E08B1" w:rsidRPr="002E08B1">
        <w:rPr>
          <w:rFonts w:ascii="Tahoma" w:hAnsi="Tahoma" w:cs="Tahoma"/>
          <w:sz w:val="24"/>
          <w:szCs w:val="24"/>
          <w:lang w:eastAsia="x-none"/>
        </w:rPr>
        <w:t xml:space="preserve">implementation of deep reforms under the TSP. </w:t>
      </w:r>
    </w:p>
    <w:p w:rsidR="002D317A" w:rsidRPr="00CD2B56" w:rsidRDefault="002D317A" w:rsidP="002D317A">
      <w:pPr>
        <w:spacing w:line="360" w:lineRule="auto"/>
        <w:jc w:val="both"/>
        <w:rPr>
          <w:rFonts w:ascii="Tahoma" w:hAnsi="Tahoma" w:cs="Tahoma"/>
          <w:sz w:val="24"/>
          <w:szCs w:val="24"/>
        </w:rPr>
      </w:pPr>
    </w:p>
    <w:p w:rsidR="002D5C42" w:rsidRPr="00E85BAF" w:rsidRDefault="002D5C42" w:rsidP="008E3AB3">
      <w:pPr>
        <w:pStyle w:val="Heading1"/>
        <w:ind w:firstLine="567"/>
        <w:rPr>
          <w:rFonts w:ascii="Tahoma" w:hAnsi="Tahoma" w:cs="Tahoma"/>
          <w:b/>
          <w:color w:val="auto"/>
          <w:sz w:val="24"/>
          <w:szCs w:val="24"/>
        </w:rPr>
      </w:pPr>
      <w:bookmarkStart w:id="27" w:name="_Toc8301963"/>
      <w:r w:rsidRPr="00E85BAF">
        <w:rPr>
          <w:rFonts w:ascii="Tahoma" w:hAnsi="Tahoma" w:cs="Tahoma"/>
          <w:b/>
          <w:color w:val="auto"/>
          <w:sz w:val="24"/>
          <w:szCs w:val="24"/>
        </w:rPr>
        <w:t>EXTERNAL SECTOR</w:t>
      </w:r>
      <w:bookmarkEnd w:id="27"/>
      <w:r w:rsidRPr="00E85BAF">
        <w:rPr>
          <w:rFonts w:ascii="Tahoma" w:hAnsi="Tahoma" w:cs="Tahoma"/>
          <w:b/>
          <w:color w:val="auto"/>
          <w:sz w:val="24"/>
          <w:szCs w:val="24"/>
        </w:rPr>
        <w:t xml:space="preserve"> </w:t>
      </w:r>
    </w:p>
    <w:p w:rsidR="00E33372" w:rsidRDefault="00E33372" w:rsidP="002776EA">
      <w:pPr>
        <w:pStyle w:val="Heading3"/>
        <w:rPr>
          <w:rFonts w:ascii="Tahoma" w:hAnsi="Tahoma" w:cs="Tahoma"/>
          <w:color w:val="auto"/>
          <w:highlight w:val="yellow"/>
        </w:rPr>
      </w:pPr>
      <w:bookmarkStart w:id="28" w:name="_Toc8301964"/>
    </w:p>
    <w:p w:rsidR="007F13FA" w:rsidRDefault="00E33372" w:rsidP="00E33372">
      <w:pPr>
        <w:pStyle w:val="ListParagraph"/>
        <w:numPr>
          <w:ilvl w:val="0"/>
          <w:numId w:val="1"/>
        </w:numPr>
        <w:spacing w:after="160" w:line="360" w:lineRule="auto"/>
        <w:ind w:left="567" w:hanging="567"/>
        <w:jc w:val="both"/>
        <w:rPr>
          <w:rFonts w:ascii="Tahoma" w:hAnsi="Tahoma" w:cs="Tahoma"/>
          <w:sz w:val="24"/>
          <w:szCs w:val="24"/>
        </w:rPr>
      </w:pPr>
      <w:r w:rsidRPr="00ED49E7">
        <w:rPr>
          <w:rFonts w:ascii="Tahoma" w:hAnsi="Tahoma" w:cs="Tahoma"/>
          <w:sz w:val="24"/>
          <w:szCs w:val="24"/>
        </w:rPr>
        <w:t xml:space="preserve">The TSP seeks to </w:t>
      </w:r>
      <w:r w:rsidR="00ED49E7">
        <w:rPr>
          <w:rFonts w:ascii="Tahoma" w:hAnsi="Tahoma" w:cs="Tahoma"/>
          <w:sz w:val="24"/>
          <w:szCs w:val="24"/>
        </w:rPr>
        <w:t xml:space="preserve">attain a sustainable balance of payments position underpinned by increasing exports particularly through focussing on value added </w:t>
      </w:r>
      <w:r w:rsidRPr="00ED49E7">
        <w:rPr>
          <w:rFonts w:ascii="Tahoma" w:hAnsi="Tahoma" w:cs="Tahoma"/>
          <w:sz w:val="24"/>
          <w:szCs w:val="24"/>
        </w:rPr>
        <w:t>exports</w:t>
      </w:r>
      <w:r w:rsidR="00ED49E7">
        <w:rPr>
          <w:rFonts w:ascii="Tahoma" w:hAnsi="Tahoma" w:cs="Tahoma"/>
          <w:sz w:val="24"/>
          <w:szCs w:val="24"/>
        </w:rPr>
        <w:t xml:space="preserve">. The strategy also seeks to take advantage of opportunities arising from regional and international trade. </w:t>
      </w:r>
    </w:p>
    <w:p w:rsidR="007F13FA" w:rsidRDefault="007F13FA" w:rsidP="007F13FA">
      <w:pPr>
        <w:pStyle w:val="ListParagraph"/>
        <w:spacing w:after="160" w:line="360" w:lineRule="auto"/>
        <w:ind w:left="567"/>
        <w:jc w:val="both"/>
        <w:rPr>
          <w:rFonts w:ascii="Tahoma" w:hAnsi="Tahoma" w:cs="Tahoma"/>
          <w:sz w:val="24"/>
          <w:szCs w:val="24"/>
        </w:rPr>
      </w:pPr>
    </w:p>
    <w:p w:rsidR="00E33372" w:rsidRPr="00ED49E7" w:rsidRDefault="00ED49E7" w:rsidP="00E33372">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Concurrently, the TSP targeted higher import substitution for goods and services which can be produced domestically taking advantage of the country`s resource</w:t>
      </w:r>
      <w:r w:rsidR="007F13FA">
        <w:rPr>
          <w:rFonts w:ascii="Tahoma" w:hAnsi="Tahoma" w:cs="Tahoma"/>
          <w:sz w:val="24"/>
          <w:szCs w:val="24"/>
        </w:rPr>
        <w:t>s. In addition, Government envisaged curtailment of non- essential imports in view of foreign currency limitations.</w:t>
      </w:r>
      <w:r>
        <w:rPr>
          <w:rFonts w:ascii="Tahoma" w:hAnsi="Tahoma" w:cs="Tahoma"/>
          <w:sz w:val="24"/>
          <w:szCs w:val="24"/>
        </w:rPr>
        <w:t xml:space="preserve"> </w:t>
      </w:r>
    </w:p>
    <w:p w:rsidR="00E33372" w:rsidRPr="00E33372" w:rsidRDefault="00E33372" w:rsidP="00E33372">
      <w:pPr>
        <w:rPr>
          <w:highlight w:val="yellow"/>
        </w:rPr>
      </w:pPr>
    </w:p>
    <w:p w:rsidR="002776EA" w:rsidRPr="00192AF7" w:rsidRDefault="002776EA" w:rsidP="00E33372">
      <w:pPr>
        <w:pStyle w:val="Heading3"/>
        <w:ind w:firstLine="567"/>
        <w:rPr>
          <w:rFonts w:ascii="Tahoma" w:hAnsi="Tahoma" w:cs="Tahoma"/>
          <w:i/>
          <w:color w:val="auto"/>
        </w:rPr>
      </w:pPr>
      <w:r w:rsidRPr="00192AF7">
        <w:rPr>
          <w:rFonts w:ascii="Tahoma" w:hAnsi="Tahoma" w:cs="Tahoma"/>
          <w:i/>
          <w:color w:val="auto"/>
        </w:rPr>
        <w:t>Exports</w:t>
      </w:r>
      <w:bookmarkEnd w:id="28"/>
      <w:r w:rsidRPr="00192AF7">
        <w:rPr>
          <w:rFonts w:ascii="Tahoma" w:hAnsi="Tahoma" w:cs="Tahoma"/>
          <w:i/>
          <w:color w:val="auto"/>
        </w:rPr>
        <w:t xml:space="preserve"> </w:t>
      </w:r>
    </w:p>
    <w:p w:rsidR="002776EA" w:rsidRPr="00E33372" w:rsidRDefault="002776EA" w:rsidP="002776EA">
      <w:pPr>
        <w:pStyle w:val="ListParagraph"/>
        <w:spacing w:after="0" w:line="360" w:lineRule="auto"/>
        <w:ind w:left="0"/>
        <w:jc w:val="both"/>
        <w:rPr>
          <w:rFonts w:ascii="Tahoma" w:hAnsi="Tahoma" w:cs="Tahoma"/>
          <w:sz w:val="24"/>
          <w:szCs w:val="24"/>
          <w:highlight w:val="yellow"/>
        </w:rPr>
      </w:pPr>
    </w:p>
    <w:p w:rsidR="007F13FA" w:rsidRDefault="007F13FA" w:rsidP="000948C0">
      <w:pPr>
        <w:pStyle w:val="ListParagraph"/>
        <w:numPr>
          <w:ilvl w:val="0"/>
          <w:numId w:val="1"/>
        </w:numPr>
        <w:spacing w:after="160" w:line="360" w:lineRule="auto"/>
        <w:ind w:left="567" w:hanging="567"/>
        <w:jc w:val="both"/>
        <w:rPr>
          <w:rFonts w:ascii="Tahoma" w:hAnsi="Tahoma" w:cs="Tahoma"/>
          <w:sz w:val="28"/>
          <w:szCs w:val="28"/>
        </w:rPr>
      </w:pPr>
      <w:r w:rsidRPr="000948C0">
        <w:rPr>
          <w:rFonts w:ascii="Tahoma" w:hAnsi="Tahoma" w:cs="Tahoma"/>
          <w:sz w:val="24"/>
          <w:szCs w:val="24"/>
        </w:rPr>
        <w:t>During the first quarter of 2019, the country’s merchandise exports grew by 15% from $886.1 million realised in first quarter of 2018, to reach $1,02 billion</w:t>
      </w:r>
      <w:r>
        <w:rPr>
          <w:rFonts w:ascii="Tahoma" w:hAnsi="Tahoma" w:cs="Tahoma"/>
          <w:sz w:val="28"/>
          <w:szCs w:val="28"/>
        </w:rPr>
        <w:t>.</w:t>
      </w:r>
    </w:p>
    <w:p w:rsidR="007F13FA" w:rsidRPr="007F13FA" w:rsidRDefault="007F13FA" w:rsidP="007F13FA">
      <w:pPr>
        <w:pStyle w:val="ListParagraph"/>
        <w:spacing w:after="0" w:line="360" w:lineRule="auto"/>
        <w:ind w:left="0"/>
        <w:jc w:val="both"/>
        <w:rPr>
          <w:rFonts w:ascii="Tahoma" w:hAnsi="Tahoma" w:cs="Tahoma"/>
          <w:sz w:val="28"/>
          <w:szCs w:val="28"/>
        </w:rPr>
      </w:pPr>
    </w:p>
    <w:p w:rsidR="007F13FA" w:rsidRDefault="007F13FA" w:rsidP="007F13FA">
      <w:pPr>
        <w:spacing w:after="0" w:line="240" w:lineRule="auto"/>
        <w:rPr>
          <w:rFonts w:ascii="Tahoma" w:hAnsi="Tahoma" w:cs="Tahoma"/>
          <w:b/>
          <w:sz w:val="28"/>
          <w:szCs w:val="28"/>
        </w:rPr>
      </w:pPr>
      <w:r w:rsidRPr="007A4EA8">
        <w:rPr>
          <w:rFonts w:ascii="Tahoma" w:hAnsi="Tahoma" w:cs="Tahoma"/>
          <w:b/>
          <w:sz w:val="28"/>
          <w:szCs w:val="28"/>
        </w:rPr>
        <w:t>Merchandise Exports (US$)</w:t>
      </w:r>
    </w:p>
    <w:p w:rsidR="007F13FA" w:rsidRDefault="007F13FA" w:rsidP="007F13FA">
      <w:pPr>
        <w:spacing w:after="0" w:line="240" w:lineRule="auto"/>
        <w:rPr>
          <w:rFonts w:ascii="Tahoma" w:hAnsi="Tahoma" w:cs="Tahoma"/>
          <w:b/>
          <w:sz w:val="28"/>
          <w:szCs w:val="28"/>
        </w:rPr>
      </w:pPr>
    </w:p>
    <w:p w:rsidR="007F13FA" w:rsidRDefault="007F13FA" w:rsidP="007F13FA">
      <w:pPr>
        <w:spacing w:after="0" w:line="240" w:lineRule="auto"/>
        <w:rPr>
          <w:rFonts w:ascii="Tahoma" w:hAnsi="Tahoma" w:cs="Tahoma"/>
          <w:b/>
          <w:sz w:val="28"/>
          <w:szCs w:val="28"/>
        </w:rPr>
      </w:pPr>
      <w:r>
        <w:rPr>
          <w:noProof/>
          <w:lang w:val="en-ZW" w:eastAsia="en-ZW"/>
        </w:rPr>
        <w:drawing>
          <wp:inline distT="0" distB="0" distL="0" distR="0" wp14:anchorId="6F78C202" wp14:editId="06B7B001">
            <wp:extent cx="45720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F13FA" w:rsidRPr="007A4EA8" w:rsidRDefault="007F13FA" w:rsidP="007F13FA">
      <w:pPr>
        <w:spacing w:after="0" w:line="240" w:lineRule="auto"/>
        <w:rPr>
          <w:rFonts w:ascii="Tahoma" w:hAnsi="Tahoma" w:cs="Tahoma"/>
          <w:b/>
          <w:sz w:val="28"/>
          <w:szCs w:val="28"/>
        </w:rPr>
      </w:pPr>
    </w:p>
    <w:p w:rsidR="007F13FA" w:rsidRDefault="007F13FA" w:rsidP="007F13FA">
      <w:pPr>
        <w:pStyle w:val="ListParagraph"/>
        <w:spacing w:after="0" w:line="360" w:lineRule="auto"/>
        <w:ind w:left="0"/>
        <w:jc w:val="both"/>
        <w:rPr>
          <w:rFonts w:ascii="Tahoma" w:hAnsi="Tahoma" w:cs="Tahoma"/>
          <w:i/>
          <w:sz w:val="20"/>
          <w:szCs w:val="20"/>
        </w:rPr>
      </w:pPr>
      <w:r>
        <w:rPr>
          <w:rFonts w:ascii="Tahoma" w:hAnsi="Tahoma" w:cs="Tahoma"/>
          <w:i/>
          <w:sz w:val="20"/>
          <w:szCs w:val="20"/>
        </w:rPr>
        <w:t xml:space="preserve">Source: ZIMSTAT &amp; MOFED calculations; *Estimate </w:t>
      </w:r>
    </w:p>
    <w:p w:rsidR="007F13FA" w:rsidRPr="009C71E4" w:rsidRDefault="007F13FA" w:rsidP="007F13FA">
      <w:pPr>
        <w:pStyle w:val="ListParagraph"/>
        <w:spacing w:after="0" w:line="360" w:lineRule="auto"/>
        <w:ind w:left="0"/>
        <w:jc w:val="both"/>
        <w:rPr>
          <w:rFonts w:ascii="Tahoma" w:hAnsi="Tahoma" w:cs="Tahoma"/>
          <w:i/>
          <w:sz w:val="20"/>
          <w:szCs w:val="20"/>
        </w:rPr>
      </w:pPr>
    </w:p>
    <w:p w:rsidR="007F13FA" w:rsidRPr="000948C0" w:rsidRDefault="007F13FA" w:rsidP="000948C0">
      <w:pPr>
        <w:pStyle w:val="ListParagraph"/>
        <w:numPr>
          <w:ilvl w:val="0"/>
          <w:numId w:val="1"/>
        </w:numPr>
        <w:spacing w:after="160" w:line="360" w:lineRule="auto"/>
        <w:ind w:left="567" w:hanging="567"/>
        <w:jc w:val="both"/>
        <w:rPr>
          <w:rFonts w:ascii="Tahoma" w:hAnsi="Tahoma" w:cs="Tahoma"/>
          <w:sz w:val="24"/>
          <w:szCs w:val="24"/>
        </w:rPr>
      </w:pPr>
      <w:r w:rsidRPr="000948C0">
        <w:rPr>
          <w:rFonts w:ascii="Tahoma" w:hAnsi="Tahoma" w:cs="Tahoma"/>
          <w:sz w:val="24"/>
          <w:szCs w:val="24"/>
        </w:rPr>
        <w:t xml:space="preserve">Exports for the period were mainly dominated by gold (23%), </w:t>
      </w:r>
      <w:r w:rsidRPr="000948C0">
        <w:rPr>
          <w:rFonts w:ascii="Tahoma" w:hAnsi="Tahoma" w:cs="Tahoma"/>
          <w:noProof/>
          <w:sz w:val="24"/>
          <w:szCs w:val="24"/>
        </w:rPr>
        <w:t>flue-cured</w:t>
      </w:r>
      <w:r w:rsidRPr="000948C0">
        <w:rPr>
          <w:rFonts w:ascii="Tahoma" w:hAnsi="Tahoma" w:cs="Tahoma"/>
          <w:sz w:val="24"/>
          <w:szCs w:val="24"/>
        </w:rPr>
        <w:t xml:space="preserve"> tobacco (23%), nickel mattes (17%) and nickel ores &amp; </w:t>
      </w:r>
      <w:r w:rsidRPr="000948C0">
        <w:rPr>
          <w:rFonts w:ascii="Tahoma" w:hAnsi="Tahoma" w:cs="Tahoma"/>
          <w:noProof/>
          <w:sz w:val="24"/>
          <w:szCs w:val="24"/>
        </w:rPr>
        <w:t>concentrates</w:t>
      </w:r>
      <w:r w:rsidRPr="000948C0">
        <w:rPr>
          <w:rFonts w:ascii="Tahoma" w:hAnsi="Tahoma" w:cs="Tahoma"/>
          <w:sz w:val="24"/>
          <w:szCs w:val="24"/>
        </w:rPr>
        <w:t xml:space="preserve"> (11%), ferrochrome, industrial diamonds, among others. </w:t>
      </w:r>
    </w:p>
    <w:p w:rsidR="007F13FA" w:rsidRPr="000948C0" w:rsidRDefault="007F13FA" w:rsidP="007F13FA">
      <w:pPr>
        <w:pStyle w:val="ListParagraph"/>
        <w:spacing w:after="0" w:line="360" w:lineRule="auto"/>
        <w:ind w:left="0"/>
        <w:jc w:val="both"/>
        <w:rPr>
          <w:rFonts w:ascii="Tahoma" w:hAnsi="Tahoma" w:cs="Tahoma"/>
          <w:sz w:val="24"/>
          <w:szCs w:val="24"/>
        </w:rPr>
      </w:pPr>
    </w:p>
    <w:p w:rsidR="007F13FA" w:rsidRPr="000948C0" w:rsidRDefault="007F13FA" w:rsidP="000948C0">
      <w:pPr>
        <w:pStyle w:val="ListParagraph"/>
        <w:numPr>
          <w:ilvl w:val="0"/>
          <w:numId w:val="1"/>
        </w:numPr>
        <w:spacing w:after="160" w:line="360" w:lineRule="auto"/>
        <w:ind w:left="567" w:hanging="567"/>
        <w:jc w:val="both"/>
        <w:rPr>
          <w:rFonts w:ascii="Tahoma" w:hAnsi="Tahoma" w:cs="Tahoma"/>
          <w:sz w:val="24"/>
          <w:szCs w:val="24"/>
        </w:rPr>
      </w:pPr>
      <w:r w:rsidRPr="000948C0">
        <w:rPr>
          <w:rFonts w:ascii="Tahoma" w:hAnsi="Tahoma" w:cs="Tahoma"/>
          <w:sz w:val="24"/>
          <w:szCs w:val="24"/>
        </w:rPr>
        <w:lastRenderedPageBreak/>
        <w:t xml:space="preserve">South Africa, United Arab Emirates, and Mozambique remained the country`s export destinations, absorbing  51%, 17% and 8%,  respectively, whilst  other countries absorbed 19% of our exports as shown in the </w:t>
      </w:r>
      <w:r w:rsidRPr="000948C0">
        <w:rPr>
          <w:rFonts w:ascii="Tahoma" w:hAnsi="Tahoma" w:cs="Tahoma"/>
          <w:noProof/>
          <w:sz w:val="24"/>
          <w:szCs w:val="24"/>
        </w:rPr>
        <w:t>chart</w:t>
      </w:r>
      <w:r w:rsidRPr="000948C0">
        <w:rPr>
          <w:rFonts w:ascii="Tahoma" w:hAnsi="Tahoma" w:cs="Tahoma"/>
          <w:sz w:val="24"/>
          <w:szCs w:val="24"/>
        </w:rPr>
        <w:t xml:space="preserve"> below:</w:t>
      </w:r>
    </w:p>
    <w:p w:rsidR="007F13FA" w:rsidRDefault="007F13FA" w:rsidP="007F13FA">
      <w:pPr>
        <w:spacing w:after="0" w:line="360" w:lineRule="auto"/>
        <w:jc w:val="both"/>
        <w:rPr>
          <w:rFonts w:ascii="Tahoma" w:hAnsi="Tahoma" w:cs="Tahoma"/>
          <w:b/>
          <w:sz w:val="28"/>
          <w:szCs w:val="28"/>
        </w:rPr>
      </w:pPr>
    </w:p>
    <w:p w:rsidR="007F13FA" w:rsidRDefault="007F13FA" w:rsidP="007F13FA">
      <w:pPr>
        <w:spacing w:after="0" w:line="360" w:lineRule="auto"/>
        <w:jc w:val="both"/>
        <w:rPr>
          <w:rFonts w:ascii="Tahoma" w:hAnsi="Tahoma" w:cs="Tahoma"/>
          <w:b/>
          <w:sz w:val="28"/>
          <w:szCs w:val="28"/>
        </w:rPr>
      </w:pPr>
      <w:r w:rsidRPr="00314B9F">
        <w:rPr>
          <w:rFonts w:ascii="Tahoma" w:hAnsi="Tahoma" w:cs="Tahoma"/>
          <w:b/>
          <w:sz w:val="28"/>
          <w:szCs w:val="28"/>
        </w:rPr>
        <w:t>Exports by Country Destinations</w:t>
      </w:r>
    </w:p>
    <w:p w:rsidR="007F13FA" w:rsidRPr="00314B9F" w:rsidRDefault="007F13FA" w:rsidP="007F13FA">
      <w:pPr>
        <w:spacing w:after="0" w:line="360" w:lineRule="auto"/>
        <w:jc w:val="both"/>
        <w:rPr>
          <w:rFonts w:ascii="Tahoma" w:hAnsi="Tahoma" w:cs="Tahoma"/>
          <w:b/>
          <w:sz w:val="28"/>
          <w:szCs w:val="28"/>
        </w:rPr>
      </w:pPr>
      <w:r>
        <w:rPr>
          <w:noProof/>
          <w:lang w:val="en-ZW" w:eastAsia="en-ZW"/>
        </w:rPr>
        <w:drawing>
          <wp:inline distT="0" distB="0" distL="0" distR="0" wp14:anchorId="4FE7D1C8" wp14:editId="0B67C113">
            <wp:extent cx="5591175" cy="3043238"/>
            <wp:effectExtent l="0" t="0" r="952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F13FA" w:rsidRPr="008E3E9E" w:rsidRDefault="007F13FA" w:rsidP="007F13FA">
      <w:pPr>
        <w:spacing w:after="0" w:line="360" w:lineRule="auto"/>
        <w:jc w:val="both"/>
      </w:pPr>
      <w:r w:rsidRPr="00187218">
        <w:rPr>
          <w:rFonts w:ascii="Tahoma" w:hAnsi="Tahoma" w:cs="Tahoma"/>
          <w:b/>
          <w:i/>
          <w:sz w:val="16"/>
          <w:szCs w:val="16"/>
        </w:rPr>
        <w:t>So</w:t>
      </w:r>
      <w:r>
        <w:rPr>
          <w:rFonts w:ascii="Tahoma" w:hAnsi="Tahoma" w:cs="Tahoma"/>
          <w:b/>
          <w:i/>
          <w:sz w:val="16"/>
          <w:szCs w:val="16"/>
        </w:rPr>
        <w:t>urce: ZIMSTAT &amp; MOFED Calculations</w:t>
      </w:r>
    </w:p>
    <w:p w:rsidR="007F13FA" w:rsidRPr="00187218" w:rsidRDefault="007F13FA" w:rsidP="007F13FA">
      <w:pPr>
        <w:spacing w:after="0" w:line="360" w:lineRule="auto"/>
        <w:jc w:val="both"/>
        <w:rPr>
          <w:rFonts w:ascii="Tahoma" w:hAnsi="Tahoma" w:cs="Tahoma"/>
          <w:b/>
          <w:i/>
          <w:sz w:val="16"/>
          <w:szCs w:val="16"/>
        </w:rPr>
      </w:pPr>
    </w:p>
    <w:p w:rsidR="007F13FA" w:rsidRPr="009F39C3" w:rsidRDefault="007F13FA" w:rsidP="007F13FA">
      <w:pPr>
        <w:spacing w:after="0" w:line="360" w:lineRule="auto"/>
        <w:ind w:left="360"/>
        <w:jc w:val="both"/>
        <w:rPr>
          <w:rFonts w:ascii="Tahoma" w:hAnsi="Tahoma" w:cs="Tahoma"/>
          <w:b/>
          <w:i/>
          <w:sz w:val="28"/>
          <w:szCs w:val="28"/>
        </w:rPr>
      </w:pPr>
      <w:r w:rsidRPr="009F39C3">
        <w:rPr>
          <w:rFonts w:ascii="Tahoma" w:hAnsi="Tahoma" w:cs="Tahoma"/>
          <w:b/>
          <w:i/>
          <w:sz w:val="28"/>
          <w:szCs w:val="28"/>
        </w:rPr>
        <w:t xml:space="preserve">Imports </w:t>
      </w:r>
    </w:p>
    <w:p w:rsidR="007F13FA" w:rsidRPr="00A84D16" w:rsidRDefault="007F13FA" w:rsidP="007F13FA">
      <w:pPr>
        <w:pStyle w:val="ListParagraph"/>
        <w:spacing w:after="0" w:line="360" w:lineRule="auto"/>
        <w:ind w:left="360"/>
        <w:jc w:val="both"/>
        <w:rPr>
          <w:rFonts w:ascii="Tahoma" w:hAnsi="Tahoma" w:cs="Tahoma"/>
          <w:sz w:val="28"/>
          <w:szCs w:val="28"/>
        </w:rPr>
      </w:pPr>
    </w:p>
    <w:p w:rsidR="007F13FA" w:rsidRDefault="007F13FA" w:rsidP="000948C0">
      <w:pPr>
        <w:pStyle w:val="ListParagraph"/>
        <w:numPr>
          <w:ilvl w:val="0"/>
          <w:numId w:val="1"/>
        </w:numPr>
        <w:spacing w:after="160" w:line="360" w:lineRule="auto"/>
        <w:ind w:left="567" w:hanging="567"/>
        <w:jc w:val="both"/>
        <w:rPr>
          <w:rFonts w:ascii="Tahoma" w:hAnsi="Tahoma" w:cs="Tahoma"/>
          <w:sz w:val="28"/>
          <w:szCs w:val="28"/>
        </w:rPr>
      </w:pPr>
      <w:r w:rsidRPr="000948C0">
        <w:rPr>
          <w:rFonts w:ascii="Tahoma" w:hAnsi="Tahoma" w:cs="Tahoma"/>
          <w:sz w:val="24"/>
          <w:szCs w:val="24"/>
        </w:rPr>
        <w:t>Total merchandise imports stood at US$1.1 billion during the first quarter</w:t>
      </w:r>
      <w:r w:rsidRPr="000948C0">
        <w:rPr>
          <w:rStyle w:val="FootnoteReference"/>
          <w:rFonts w:ascii="Tahoma" w:hAnsi="Tahoma" w:cs="Tahoma"/>
          <w:sz w:val="24"/>
          <w:szCs w:val="24"/>
        </w:rPr>
        <w:footnoteReference w:id="1"/>
      </w:r>
      <w:r w:rsidRPr="000948C0">
        <w:rPr>
          <w:rFonts w:ascii="Tahoma" w:hAnsi="Tahoma" w:cs="Tahoma"/>
          <w:sz w:val="24"/>
          <w:szCs w:val="24"/>
        </w:rPr>
        <w:t xml:space="preserve"> of 2019, a 33% decrease from US$1.7 billion accumulated during the fourth quarter of 2018. This is also against $1.8 billion recorded in same period in 2018. The reduction of the import</w:t>
      </w:r>
      <w:r w:rsidR="00B56680" w:rsidRPr="000948C0">
        <w:rPr>
          <w:rFonts w:ascii="Tahoma" w:hAnsi="Tahoma" w:cs="Tahoma"/>
          <w:sz w:val="24"/>
          <w:szCs w:val="24"/>
        </w:rPr>
        <w:t xml:space="preserve"> bill reflects the impact of </w:t>
      </w:r>
      <w:r w:rsidRPr="000948C0">
        <w:rPr>
          <w:rFonts w:ascii="Tahoma" w:hAnsi="Tahoma" w:cs="Tahoma"/>
          <w:sz w:val="24"/>
          <w:szCs w:val="24"/>
        </w:rPr>
        <w:t>imports</w:t>
      </w:r>
      <w:r w:rsidR="00B56680" w:rsidRPr="000948C0">
        <w:rPr>
          <w:rFonts w:ascii="Tahoma" w:hAnsi="Tahoma" w:cs="Tahoma"/>
          <w:sz w:val="24"/>
          <w:szCs w:val="24"/>
        </w:rPr>
        <w:t xml:space="preserve"> demand</w:t>
      </w:r>
      <w:r w:rsidRPr="000948C0">
        <w:rPr>
          <w:rFonts w:ascii="Tahoma" w:hAnsi="Tahoma" w:cs="Tahoma"/>
          <w:sz w:val="24"/>
          <w:szCs w:val="24"/>
        </w:rPr>
        <w:t xml:space="preserve"> management measures</w:t>
      </w:r>
      <w:r w:rsidR="00B56680" w:rsidRPr="000948C0">
        <w:rPr>
          <w:rFonts w:ascii="Tahoma" w:hAnsi="Tahoma" w:cs="Tahoma"/>
          <w:sz w:val="24"/>
          <w:szCs w:val="24"/>
        </w:rPr>
        <w:t xml:space="preserve"> under implementation, including fuel prices adjustment</w:t>
      </w:r>
      <w:r w:rsidR="00B56680">
        <w:rPr>
          <w:rFonts w:ascii="Tahoma" w:hAnsi="Tahoma" w:cs="Tahoma"/>
          <w:sz w:val="28"/>
          <w:szCs w:val="28"/>
        </w:rPr>
        <w:t>.</w:t>
      </w:r>
    </w:p>
    <w:p w:rsidR="007F13FA" w:rsidRDefault="007F13FA" w:rsidP="00192AF7">
      <w:pPr>
        <w:spacing w:after="0" w:line="240" w:lineRule="auto"/>
        <w:jc w:val="both"/>
        <w:rPr>
          <w:rFonts w:ascii="Tahoma" w:hAnsi="Tahoma" w:cs="Tahoma"/>
          <w:b/>
          <w:sz w:val="28"/>
          <w:szCs w:val="28"/>
        </w:rPr>
      </w:pPr>
    </w:p>
    <w:p w:rsidR="007F13FA" w:rsidRPr="000948C0" w:rsidRDefault="007F13FA" w:rsidP="00192AF7">
      <w:pPr>
        <w:spacing w:after="0" w:line="240" w:lineRule="auto"/>
        <w:jc w:val="both"/>
        <w:rPr>
          <w:rFonts w:ascii="Tahoma" w:hAnsi="Tahoma" w:cs="Tahoma"/>
          <w:b/>
          <w:sz w:val="24"/>
          <w:szCs w:val="24"/>
        </w:rPr>
      </w:pPr>
      <w:r w:rsidRPr="000948C0">
        <w:rPr>
          <w:rFonts w:ascii="Tahoma" w:hAnsi="Tahoma" w:cs="Tahoma"/>
          <w:b/>
          <w:sz w:val="24"/>
          <w:szCs w:val="24"/>
        </w:rPr>
        <w:t>Merchandise Imports (US$)</w:t>
      </w:r>
    </w:p>
    <w:p w:rsidR="007F13FA" w:rsidRPr="00152DEC" w:rsidRDefault="007F13FA" w:rsidP="007F13FA">
      <w:pPr>
        <w:spacing w:after="0" w:line="360" w:lineRule="auto"/>
        <w:jc w:val="both"/>
        <w:rPr>
          <w:rFonts w:ascii="Tahoma" w:hAnsi="Tahoma" w:cs="Tahoma"/>
          <w:sz w:val="28"/>
          <w:szCs w:val="28"/>
        </w:rPr>
      </w:pPr>
      <w:r>
        <w:rPr>
          <w:noProof/>
          <w:lang w:val="en-ZW" w:eastAsia="en-ZW"/>
        </w:rPr>
        <w:lastRenderedPageBreak/>
        <w:drawing>
          <wp:inline distT="0" distB="0" distL="0" distR="0" wp14:anchorId="26669A18" wp14:editId="49325A4B">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F13FA" w:rsidRDefault="007F13FA" w:rsidP="007F13FA">
      <w:pPr>
        <w:pStyle w:val="ListParagraph"/>
        <w:spacing w:after="0" w:line="360" w:lineRule="auto"/>
        <w:ind w:left="0"/>
        <w:jc w:val="both"/>
        <w:rPr>
          <w:rFonts w:ascii="Tahoma" w:hAnsi="Tahoma" w:cs="Tahoma"/>
          <w:i/>
          <w:sz w:val="20"/>
          <w:szCs w:val="20"/>
        </w:rPr>
      </w:pPr>
      <w:r>
        <w:rPr>
          <w:rFonts w:ascii="Tahoma" w:hAnsi="Tahoma" w:cs="Tahoma"/>
          <w:i/>
          <w:sz w:val="20"/>
          <w:szCs w:val="20"/>
        </w:rPr>
        <w:t>Source: ZIMSTAT &amp; MOFED calculations; ***Estimate</w:t>
      </w:r>
    </w:p>
    <w:p w:rsidR="007F13FA" w:rsidRDefault="007F13FA" w:rsidP="007F13FA">
      <w:pPr>
        <w:pStyle w:val="ListParagraph"/>
        <w:spacing w:after="0" w:line="360" w:lineRule="auto"/>
        <w:ind w:left="0"/>
        <w:jc w:val="both"/>
        <w:rPr>
          <w:rFonts w:ascii="Tahoma" w:hAnsi="Tahoma" w:cs="Tahoma"/>
          <w:sz w:val="28"/>
          <w:szCs w:val="28"/>
        </w:rPr>
      </w:pPr>
    </w:p>
    <w:p w:rsidR="007F13FA" w:rsidRPr="000948C0" w:rsidRDefault="007F13FA" w:rsidP="000948C0">
      <w:pPr>
        <w:pStyle w:val="ListParagraph"/>
        <w:numPr>
          <w:ilvl w:val="0"/>
          <w:numId w:val="1"/>
        </w:numPr>
        <w:spacing w:after="160" w:line="360" w:lineRule="auto"/>
        <w:ind w:left="567" w:hanging="567"/>
        <w:jc w:val="both"/>
        <w:rPr>
          <w:rFonts w:ascii="Tahoma" w:hAnsi="Tahoma" w:cs="Tahoma"/>
          <w:sz w:val="24"/>
          <w:szCs w:val="24"/>
        </w:rPr>
      </w:pPr>
      <w:r w:rsidRPr="000948C0">
        <w:rPr>
          <w:rFonts w:ascii="Tahoma" w:hAnsi="Tahoma" w:cs="Tahoma"/>
          <w:sz w:val="24"/>
          <w:szCs w:val="24"/>
        </w:rPr>
        <w:t xml:space="preserve">Diesel, petrol, tractors, wheat, vehicles for transportation and crude soya bean oil were the </w:t>
      </w:r>
      <w:r w:rsidRPr="000948C0">
        <w:rPr>
          <w:rFonts w:ascii="Tahoma" w:hAnsi="Tahoma" w:cs="Tahoma"/>
          <w:noProof/>
          <w:sz w:val="24"/>
          <w:szCs w:val="24"/>
        </w:rPr>
        <w:t>country’s</w:t>
      </w:r>
      <w:r w:rsidRPr="000948C0">
        <w:rPr>
          <w:rFonts w:ascii="Tahoma" w:hAnsi="Tahoma" w:cs="Tahoma"/>
          <w:sz w:val="24"/>
          <w:szCs w:val="24"/>
        </w:rPr>
        <w:t xml:space="preserve"> major imports during the months of January and February 2019. </w:t>
      </w:r>
    </w:p>
    <w:p w:rsidR="00B56680" w:rsidRPr="00152DEC" w:rsidRDefault="00B56680" w:rsidP="007F13FA">
      <w:pPr>
        <w:pStyle w:val="ListParagraph"/>
        <w:spacing w:after="0" w:line="360" w:lineRule="auto"/>
        <w:ind w:left="0"/>
        <w:jc w:val="both"/>
        <w:rPr>
          <w:rFonts w:ascii="Tahoma" w:hAnsi="Tahoma" w:cs="Tahoma"/>
          <w:sz w:val="28"/>
          <w:szCs w:val="28"/>
        </w:rPr>
      </w:pPr>
    </w:p>
    <w:p w:rsidR="007F13FA" w:rsidRPr="000948C0" w:rsidRDefault="007F13FA" w:rsidP="007F13FA">
      <w:pPr>
        <w:spacing w:after="0" w:line="240" w:lineRule="auto"/>
        <w:rPr>
          <w:rFonts w:ascii="Tahoma" w:hAnsi="Tahoma" w:cs="Tahoma"/>
          <w:b/>
          <w:sz w:val="24"/>
          <w:szCs w:val="24"/>
        </w:rPr>
      </w:pPr>
      <w:r w:rsidRPr="000948C0">
        <w:rPr>
          <w:rFonts w:ascii="Tahoma" w:hAnsi="Tahoma" w:cs="Tahoma"/>
          <w:b/>
          <w:sz w:val="24"/>
          <w:szCs w:val="24"/>
        </w:rPr>
        <w:t>Imports by Product (Jan-Feb 19)</w:t>
      </w:r>
    </w:p>
    <w:tbl>
      <w:tblPr>
        <w:tblStyle w:val="GridTable4-Accent5"/>
        <w:tblW w:w="0" w:type="auto"/>
        <w:tblLook w:val="04A0" w:firstRow="1" w:lastRow="0" w:firstColumn="1" w:lastColumn="0" w:noHBand="0" w:noVBand="1"/>
      </w:tblPr>
      <w:tblGrid>
        <w:gridCol w:w="5950"/>
        <w:gridCol w:w="1695"/>
        <w:gridCol w:w="1440"/>
      </w:tblGrid>
      <w:tr w:rsidR="007F13FA" w:rsidRPr="00F74548" w:rsidTr="00C3288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5950" w:type="dxa"/>
            <w:noWrap/>
          </w:tcPr>
          <w:p w:rsidR="007F13FA" w:rsidRPr="00F74548" w:rsidRDefault="007F13FA" w:rsidP="007F13FA">
            <w:pPr>
              <w:pStyle w:val="ListParagraph"/>
              <w:numPr>
                <w:ilvl w:val="0"/>
                <w:numId w:val="4"/>
              </w:numPr>
              <w:spacing w:after="0" w:line="240" w:lineRule="auto"/>
              <w:ind w:left="0" w:hanging="567"/>
              <w:jc w:val="both"/>
              <w:rPr>
                <w:rFonts w:ascii="Tahoma" w:hAnsi="Tahoma" w:cs="Tahoma"/>
                <w:sz w:val="20"/>
                <w:szCs w:val="20"/>
                <w:lang w:val="en-US"/>
              </w:rPr>
            </w:pPr>
            <w:r w:rsidRPr="00F74548">
              <w:rPr>
                <w:rFonts w:ascii="Tahoma" w:hAnsi="Tahoma" w:cs="Tahoma"/>
                <w:sz w:val="20"/>
                <w:szCs w:val="20"/>
                <w:lang w:val="en-US"/>
              </w:rPr>
              <w:t>Product</w:t>
            </w:r>
          </w:p>
        </w:tc>
        <w:tc>
          <w:tcPr>
            <w:tcW w:w="1695" w:type="dxa"/>
            <w:noWrap/>
          </w:tcPr>
          <w:p w:rsidR="007F13FA" w:rsidRPr="00F74548" w:rsidRDefault="007F13FA" w:rsidP="007F13FA">
            <w:pPr>
              <w:pStyle w:val="ListParagraph"/>
              <w:numPr>
                <w:ilvl w:val="0"/>
                <w:numId w:val="4"/>
              </w:numPr>
              <w:spacing w:after="0" w:line="240" w:lineRule="auto"/>
              <w:ind w:left="0" w:hanging="567"/>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en-US"/>
              </w:rPr>
            </w:pPr>
            <w:r w:rsidRPr="00F74548">
              <w:rPr>
                <w:rFonts w:ascii="Tahoma" w:hAnsi="Tahoma" w:cs="Tahoma"/>
                <w:sz w:val="20"/>
                <w:szCs w:val="20"/>
                <w:lang w:val="en-US"/>
              </w:rPr>
              <w:t>Value(US$)</w:t>
            </w:r>
          </w:p>
        </w:tc>
        <w:tc>
          <w:tcPr>
            <w:tcW w:w="1440" w:type="dxa"/>
            <w:noWrap/>
          </w:tcPr>
          <w:p w:rsidR="007F13FA" w:rsidRPr="00F74548" w:rsidRDefault="007F13FA" w:rsidP="007F13FA">
            <w:pPr>
              <w:pStyle w:val="ListParagraph"/>
              <w:numPr>
                <w:ilvl w:val="0"/>
                <w:numId w:val="4"/>
              </w:numPr>
              <w:spacing w:after="0" w:line="240" w:lineRule="auto"/>
              <w:ind w:left="0" w:hanging="567"/>
              <w:jc w:val="both"/>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lang w:val="en-US"/>
              </w:rPr>
            </w:pPr>
            <w:r w:rsidRPr="00F74548">
              <w:rPr>
                <w:rFonts w:ascii="Tahoma" w:hAnsi="Tahoma" w:cs="Tahoma"/>
                <w:sz w:val="20"/>
                <w:szCs w:val="20"/>
                <w:lang w:val="en-US"/>
              </w:rPr>
              <w:t xml:space="preserve">Share (%) </w:t>
            </w:r>
          </w:p>
        </w:tc>
      </w:tr>
      <w:tr w:rsidR="007F13FA" w:rsidRPr="00AB53EB" w:rsidTr="00C328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AB53EB" w:rsidRDefault="007F13FA" w:rsidP="00C3288F">
            <w:pPr>
              <w:rPr>
                <w:rFonts w:ascii="Calibri" w:eastAsia="Times New Roman" w:hAnsi="Calibri" w:cs="Times New Roman"/>
                <w:b w:val="0"/>
                <w:color w:val="000000"/>
                <w:lang w:val="en-ZW" w:eastAsia="en-ZW"/>
              </w:rPr>
            </w:pPr>
            <w:r w:rsidRPr="00AB53EB">
              <w:rPr>
                <w:rFonts w:ascii="Calibri" w:eastAsia="Times New Roman" w:hAnsi="Calibri" w:cs="Times New Roman"/>
                <w:b w:val="0"/>
                <w:color w:val="000000"/>
                <w:lang w:val="en-ZW" w:eastAsia="en-ZW"/>
              </w:rPr>
              <w:t>Diesel</w:t>
            </w:r>
          </w:p>
        </w:tc>
        <w:tc>
          <w:tcPr>
            <w:tcW w:w="1695"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119,931,064</w:t>
            </w:r>
          </w:p>
        </w:tc>
        <w:tc>
          <w:tcPr>
            <w:tcW w:w="1440"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17.0</w:t>
            </w:r>
          </w:p>
        </w:tc>
      </w:tr>
      <w:tr w:rsidR="007F13FA" w:rsidRPr="00AB53EB" w:rsidTr="00C3288F">
        <w:trPr>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AB53EB" w:rsidRDefault="007F13FA" w:rsidP="00C3288F">
            <w:pPr>
              <w:rPr>
                <w:rFonts w:ascii="Calibri" w:eastAsia="Times New Roman" w:hAnsi="Calibri" w:cs="Times New Roman"/>
                <w:b w:val="0"/>
                <w:color w:val="000000"/>
                <w:lang w:val="en-ZW" w:eastAsia="en-ZW"/>
              </w:rPr>
            </w:pPr>
            <w:r w:rsidRPr="00AB53EB">
              <w:rPr>
                <w:rFonts w:ascii="Calibri" w:eastAsia="Times New Roman" w:hAnsi="Calibri" w:cs="Times New Roman"/>
                <w:b w:val="0"/>
                <w:color w:val="000000"/>
                <w:lang w:val="en-ZW" w:eastAsia="en-ZW"/>
              </w:rPr>
              <w:t>Unleaded petrol</w:t>
            </w:r>
          </w:p>
        </w:tc>
        <w:tc>
          <w:tcPr>
            <w:tcW w:w="1695" w:type="dxa"/>
            <w:noWrap/>
            <w:hideMark/>
          </w:tcPr>
          <w:p w:rsidR="007F13FA" w:rsidRPr="00AB53EB" w:rsidRDefault="007F13FA" w:rsidP="00C3288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66,628,665</w:t>
            </w:r>
          </w:p>
        </w:tc>
        <w:tc>
          <w:tcPr>
            <w:tcW w:w="1440" w:type="dxa"/>
            <w:noWrap/>
            <w:hideMark/>
          </w:tcPr>
          <w:p w:rsidR="007F13FA" w:rsidRPr="00AB53EB" w:rsidRDefault="007F13FA" w:rsidP="00C3288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9.4</w:t>
            </w:r>
          </w:p>
        </w:tc>
      </w:tr>
      <w:tr w:rsidR="007F13FA" w:rsidRPr="00AB53EB" w:rsidTr="00C328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AB53EB" w:rsidRDefault="007F13FA" w:rsidP="00C3288F">
            <w:pPr>
              <w:rPr>
                <w:rFonts w:ascii="Calibri" w:eastAsia="Times New Roman" w:hAnsi="Calibri" w:cs="Times New Roman"/>
                <w:b w:val="0"/>
                <w:color w:val="000000"/>
                <w:lang w:val="en-ZW" w:eastAsia="en-ZW"/>
              </w:rPr>
            </w:pPr>
            <w:r w:rsidRPr="00AB53EB">
              <w:rPr>
                <w:rFonts w:ascii="Calibri" w:eastAsia="Times New Roman" w:hAnsi="Calibri" w:cs="Times New Roman"/>
                <w:b w:val="0"/>
                <w:color w:val="000000"/>
                <w:lang w:val="en-ZW" w:eastAsia="en-ZW"/>
              </w:rPr>
              <w:t>Road tractors for semi-trailers</w:t>
            </w:r>
          </w:p>
        </w:tc>
        <w:tc>
          <w:tcPr>
            <w:tcW w:w="1695"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11,199,467</w:t>
            </w:r>
          </w:p>
        </w:tc>
        <w:tc>
          <w:tcPr>
            <w:tcW w:w="1440"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1.6</w:t>
            </w:r>
          </w:p>
        </w:tc>
      </w:tr>
      <w:tr w:rsidR="007F13FA" w:rsidRPr="00AB53EB" w:rsidTr="00C3288F">
        <w:trPr>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AB53EB" w:rsidRDefault="007F13FA" w:rsidP="00C3288F">
            <w:pPr>
              <w:rPr>
                <w:rFonts w:ascii="Calibri" w:eastAsia="Times New Roman" w:hAnsi="Calibri" w:cs="Times New Roman"/>
                <w:b w:val="0"/>
                <w:color w:val="000000"/>
                <w:lang w:val="en-ZW" w:eastAsia="en-ZW"/>
              </w:rPr>
            </w:pPr>
            <w:r w:rsidRPr="00AB53EB">
              <w:rPr>
                <w:rFonts w:ascii="Calibri" w:eastAsia="Times New Roman" w:hAnsi="Calibri" w:cs="Times New Roman"/>
                <w:b w:val="0"/>
                <w:color w:val="000000"/>
                <w:lang w:val="en-ZW" w:eastAsia="en-ZW"/>
              </w:rPr>
              <w:t>Other durum wheat</w:t>
            </w:r>
          </w:p>
        </w:tc>
        <w:tc>
          <w:tcPr>
            <w:tcW w:w="1695" w:type="dxa"/>
            <w:noWrap/>
            <w:hideMark/>
          </w:tcPr>
          <w:p w:rsidR="007F13FA" w:rsidRPr="00AB53EB" w:rsidRDefault="007F13FA" w:rsidP="00C3288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10,766,108</w:t>
            </w:r>
          </w:p>
        </w:tc>
        <w:tc>
          <w:tcPr>
            <w:tcW w:w="1440" w:type="dxa"/>
            <w:noWrap/>
            <w:hideMark/>
          </w:tcPr>
          <w:p w:rsidR="007F13FA" w:rsidRPr="00AB53EB" w:rsidRDefault="007F13FA" w:rsidP="00C3288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1.5</w:t>
            </w:r>
          </w:p>
        </w:tc>
      </w:tr>
      <w:tr w:rsidR="007F13FA" w:rsidRPr="00AB53EB" w:rsidTr="00C328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AB53EB" w:rsidRDefault="007F13FA" w:rsidP="00C3288F">
            <w:pPr>
              <w:rPr>
                <w:rFonts w:ascii="Calibri" w:eastAsia="Times New Roman" w:hAnsi="Calibri" w:cs="Times New Roman"/>
                <w:b w:val="0"/>
                <w:color w:val="000000"/>
                <w:lang w:val="en-ZW" w:eastAsia="en-ZW"/>
              </w:rPr>
            </w:pPr>
            <w:r w:rsidRPr="00AB53EB">
              <w:rPr>
                <w:rFonts w:ascii="Calibri" w:eastAsia="Times New Roman" w:hAnsi="Calibri" w:cs="Times New Roman"/>
                <w:b w:val="0"/>
                <w:color w:val="000000"/>
                <w:lang w:val="en-ZW" w:eastAsia="en-ZW"/>
              </w:rPr>
              <w:t>Motor vehicles for the transport of goods of payload &gt;800KG not exceeding 1400KG (1.4t)</w:t>
            </w:r>
          </w:p>
        </w:tc>
        <w:tc>
          <w:tcPr>
            <w:tcW w:w="1695"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10,733,497</w:t>
            </w:r>
          </w:p>
        </w:tc>
        <w:tc>
          <w:tcPr>
            <w:tcW w:w="1440"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1.5</w:t>
            </w:r>
          </w:p>
        </w:tc>
      </w:tr>
      <w:tr w:rsidR="007F13FA" w:rsidRPr="00AB53EB" w:rsidTr="00C3288F">
        <w:trPr>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AB53EB" w:rsidRDefault="007F13FA" w:rsidP="00C3288F">
            <w:pPr>
              <w:rPr>
                <w:rFonts w:ascii="Calibri" w:eastAsia="Times New Roman" w:hAnsi="Calibri" w:cs="Times New Roman"/>
                <w:b w:val="0"/>
                <w:color w:val="000000"/>
                <w:lang w:val="en-ZW" w:eastAsia="en-ZW"/>
              </w:rPr>
            </w:pPr>
            <w:r w:rsidRPr="00AB53EB">
              <w:rPr>
                <w:rFonts w:ascii="Calibri" w:eastAsia="Times New Roman" w:hAnsi="Calibri" w:cs="Times New Roman"/>
                <w:b w:val="0"/>
                <w:color w:val="000000"/>
                <w:lang w:val="en-ZW" w:eastAsia="en-ZW"/>
              </w:rPr>
              <w:t>Crude soya bean oil, whether or not degummed</w:t>
            </w:r>
          </w:p>
        </w:tc>
        <w:tc>
          <w:tcPr>
            <w:tcW w:w="1695" w:type="dxa"/>
            <w:noWrap/>
            <w:hideMark/>
          </w:tcPr>
          <w:p w:rsidR="007F13FA" w:rsidRPr="00AB53EB" w:rsidRDefault="007F13FA" w:rsidP="00C3288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10,476,041</w:t>
            </w:r>
          </w:p>
        </w:tc>
        <w:tc>
          <w:tcPr>
            <w:tcW w:w="1440" w:type="dxa"/>
            <w:noWrap/>
            <w:hideMark/>
          </w:tcPr>
          <w:p w:rsidR="007F13FA" w:rsidRPr="00AB53EB" w:rsidRDefault="007F13FA" w:rsidP="00C3288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1.5</w:t>
            </w:r>
          </w:p>
        </w:tc>
      </w:tr>
      <w:tr w:rsidR="007F13FA" w:rsidRPr="00AB53EB" w:rsidTr="00C328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AB53EB" w:rsidRDefault="007F13FA" w:rsidP="00C3288F">
            <w:pPr>
              <w:rPr>
                <w:rFonts w:ascii="Calibri" w:eastAsia="Times New Roman" w:hAnsi="Calibri" w:cs="Times New Roman"/>
                <w:b w:val="0"/>
                <w:color w:val="000000"/>
                <w:lang w:val="en-ZW" w:eastAsia="en-ZW"/>
              </w:rPr>
            </w:pPr>
            <w:r w:rsidRPr="00AB53EB">
              <w:rPr>
                <w:rFonts w:ascii="Calibri" w:eastAsia="Times New Roman" w:hAnsi="Calibri" w:cs="Times New Roman"/>
                <w:b w:val="0"/>
                <w:color w:val="000000"/>
                <w:lang w:val="en-ZW" w:eastAsia="en-ZW"/>
              </w:rPr>
              <w:t>Aviation Spirit</w:t>
            </w:r>
          </w:p>
        </w:tc>
        <w:tc>
          <w:tcPr>
            <w:tcW w:w="1695"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9,642,483</w:t>
            </w:r>
          </w:p>
        </w:tc>
        <w:tc>
          <w:tcPr>
            <w:tcW w:w="1440"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1.4</w:t>
            </w:r>
          </w:p>
        </w:tc>
      </w:tr>
      <w:tr w:rsidR="007F13FA" w:rsidRPr="00AB53EB" w:rsidTr="00C3288F">
        <w:trPr>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AB53EB" w:rsidRDefault="007F13FA" w:rsidP="00C3288F">
            <w:pPr>
              <w:rPr>
                <w:rFonts w:ascii="Calibri" w:eastAsia="Times New Roman" w:hAnsi="Calibri" w:cs="Times New Roman"/>
                <w:b w:val="0"/>
                <w:color w:val="000000"/>
                <w:lang w:val="en-ZW" w:eastAsia="en-ZW"/>
              </w:rPr>
            </w:pPr>
            <w:r w:rsidRPr="00AB53EB">
              <w:rPr>
                <w:rFonts w:ascii="Calibri" w:eastAsia="Times New Roman" w:hAnsi="Calibri" w:cs="Times New Roman"/>
                <w:b w:val="0"/>
                <w:color w:val="000000"/>
                <w:lang w:val="en-ZW" w:eastAsia="en-ZW"/>
              </w:rPr>
              <w:t>Self-propelled front-end shovel loaders</w:t>
            </w:r>
          </w:p>
        </w:tc>
        <w:tc>
          <w:tcPr>
            <w:tcW w:w="1695" w:type="dxa"/>
            <w:noWrap/>
            <w:hideMark/>
          </w:tcPr>
          <w:p w:rsidR="007F13FA" w:rsidRPr="00AB53EB" w:rsidRDefault="007F13FA" w:rsidP="00C3288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6,811,280</w:t>
            </w:r>
          </w:p>
        </w:tc>
        <w:tc>
          <w:tcPr>
            <w:tcW w:w="1440" w:type="dxa"/>
            <w:noWrap/>
            <w:hideMark/>
          </w:tcPr>
          <w:p w:rsidR="007F13FA" w:rsidRPr="00AB53EB" w:rsidRDefault="007F13FA" w:rsidP="00C3288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1.0</w:t>
            </w:r>
          </w:p>
        </w:tc>
      </w:tr>
      <w:tr w:rsidR="007F13FA" w:rsidRPr="00AB53EB" w:rsidTr="00C328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AB53EB" w:rsidRDefault="007F13FA" w:rsidP="00C3288F">
            <w:pPr>
              <w:rPr>
                <w:rFonts w:ascii="Calibri" w:eastAsia="Times New Roman" w:hAnsi="Calibri" w:cs="Times New Roman"/>
                <w:b w:val="0"/>
                <w:color w:val="000000"/>
                <w:lang w:val="en-ZW" w:eastAsia="en-ZW"/>
              </w:rPr>
            </w:pPr>
            <w:r w:rsidRPr="00AB53EB">
              <w:rPr>
                <w:rFonts w:ascii="Calibri" w:eastAsia="Times New Roman" w:hAnsi="Calibri" w:cs="Times New Roman"/>
                <w:b w:val="0"/>
                <w:color w:val="000000"/>
                <w:lang w:val="en-ZW" w:eastAsia="en-ZW"/>
              </w:rPr>
              <w:t>Other insecticides nes</w:t>
            </w:r>
          </w:p>
        </w:tc>
        <w:tc>
          <w:tcPr>
            <w:tcW w:w="1695"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6,791,462</w:t>
            </w:r>
          </w:p>
        </w:tc>
        <w:tc>
          <w:tcPr>
            <w:tcW w:w="1440"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1.0</w:t>
            </w:r>
          </w:p>
        </w:tc>
      </w:tr>
      <w:tr w:rsidR="007F13FA" w:rsidRPr="00AB53EB" w:rsidTr="00C3288F">
        <w:trPr>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AB53EB" w:rsidRDefault="007F13FA" w:rsidP="00C3288F">
            <w:pPr>
              <w:rPr>
                <w:rFonts w:ascii="Calibri" w:eastAsia="Times New Roman" w:hAnsi="Calibri" w:cs="Times New Roman"/>
                <w:b w:val="0"/>
                <w:color w:val="000000"/>
                <w:lang w:val="en-ZW" w:eastAsia="en-ZW"/>
              </w:rPr>
            </w:pPr>
            <w:r w:rsidRPr="00AB53EB">
              <w:rPr>
                <w:rFonts w:ascii="Calibri" w:eastAsia="Times New Roman" w:hAnsi="Calibri" w:cs="Times New Roman"/>
                <w:b w:val="0"/>
                <w:color w:val="000000"/>
                <w:lang w:val="en-ZW" w:eastAsia="en-ZW"/>
              </w:rPr>
              <w:t>Medicaments used in the management of chronic illnesses app by Sec of Health</w:t>
            </w:r>
          </w:p>
        </w:tc>
        <w:tc>
          <w:tcPr>
            <w:tcW w:w="1695" w:type="dxa"/>
            <w:noWrap/>
            <w:hideMark/>
          </w:tcPr>
          <w:p w:rsidR="007F13FA" w:rsidRPr="00AB53EB" w:rsidRDefault="007F13FA" w:rsidP="00C3288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6,258,382</w:t>
            </w:r>
          </w:p>
        </w:tc>
        <w:tc>
          <w:tcPr>
            <w:tcW w:w="1440" w:type="dxa"/>
            <w:noWrap/>
            <w:hideMark/>
          </w:tcPr>
          <w:p w:rsidR="007F13FA" w:rsidRPr="00AB53EB" w:rsidRDefault="007F13FA" w:rsidP="00C3288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0.9</w:t>
            </w:r>
          </w:p>
        </w:tc>
      </w:tr>
      <w:tr w:rsidR="007F13FA" w:rsidRPr="00AB53EB" w:rsidTr="00C328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AB53EB" w:rsidRDefault="007F13FA" w:rsidP="00C3288F">
            <w:pPr>
              <w:rPr>
                <w:rFonts w:ascii="Calibri" w:eastAsia="Times New Roman" w:hAnsi="Calibri" w:cs="Times New Roman"/>
                <w:b w:val="0"/>
                <w:color w:val="000000"/>
                <w:lang w:val="en-ZW" w:eastAsia="en-ZW"/>
              </w:rPr>
            </w:pPr>
            <w:r w:rsidRPr="00AB53EB">
              <w:rPr>
                <w:rFonts w:ascii="Calibri" w:eastAsia="Times New Roman" w:hAnsi="Calibri" w:cs="Times New Roman"/>
                <w:b w:val="0"/>
                <w:color w:val="000000"/>
                <w:lang w:val="en-ZW" w:eastAsia="en-ZW"/>
              </w:rPr>
              <w:lastRenderedPageBreak/>
              <w:t>Electrical energy</w:t>
            </w:r>
          </w:p>
        </w:tc>
        <w:tc>
          <w:tcPr>
            <w:tcW w:w="1695"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6,099,198</w:t>
            </w:r>
          </w:p>
        </w:tc>
        <w:tc>
          <w:tcPr>
            <w:tcW w:w="1440"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0.9</w:t>
            </w:r>
          </w:p>
        </w:tc>
      </w:tr>
      <w:tr w:rsidR="007F13FA" w:rsidRPr="00AB53EB" w:rsidTr="00C3288F">
        <w:trPr>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AB53EB" w:rsidRDefault="007F13FA" w:rsidP="00C3288F">
            <w:pPr>
              <w:rPr>
                <w:rFonts w:ascii="Calibri" w:eastAsia="Times New Roman" w:hAnsi="Calibri" w:cs="Times New Roman"/>
                <w:b w:val="0"/>
                <w:color w:val="000000"/>
                <w:lang w:val="en-ZW" w:eastAsia="en-ZW"/>
              </w:rPr>
            </w:pPr>
            <w:r w:rsidRPr="00AB53EB">
              <w:rPr>
                <w:rFonts w:ascii="Calibri" w:eastAsia="Times New Roman" w:hAnsi="Calibri" w:cs="Times New Roman"/>
                <w:b w:val="0"/>
                <w:color w:val="000000"/>
                <w:lang w:val="en-ZW" w:eastAsia="en-ZW"/>
              </w:rPr>
              <w:t>Goods vehicles, with diesel/semi-diesel engines, gvw 5-20t, nes</w:t>
            </w:r>
          </w:p>
        </w:tc>
        <w:tc>
          <w:tcPr>
            <w:tcW w:w="1695" w:type="dxa"/>
            <w:noWrap/>
            <w:hideMark/>
          </w:tcPr>
          <w:p w:rsidR="007F13FA" w:rsidRPr="00AB53EB" w:rsidRDefault="007F13FA" w:rsidP="00C3288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5,633,503</w:t>
            </w:r>
          </w:p>
        </w:tc>
        <w:tc>
          <w:tcPr>
            <w:tcW w:w="1440" w:type="dxa"/>
            <w:noWrap/>
            <w:hideMark/>
          </w:tcPr>
          <w:p w:rsidR="007F13FA" w:rsidRPr="00AB53EB" w:rsidRDefault="007F13FA" w:rsidP="00C3288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0.8</w:t>
            </w:r>
          </w:p>
        </w:tc>
      </w:tr>
      <w:tr w:rsidR="007F13FA" w:rsidRPr="00AB53EB" w:rsidTr="00C328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AB53EB" w:rsidRDefault="007F13FA" w:rsidP="00C3288F">
            <w:pPr>
              <w:rPr>
                <w:rFonts w:ascii="Calibri" w:eastAsia="Times New Roman" w:hAnsi="Calibri" w:cs="Times New Roman"/>
                <w:b w:val="0"/>
                <w:color w:val="000000"/>
                <w:lang w:val="en-ZW" w:eastAsia="en-ZW"/>
              </w:rPr>
            </w:pPr>
            <w:r w:rsidRPr="00AB53EB">
              <w:rPr>
                <w:rFonts w:ascii="Calibri" w:eastAsia="Times New Roman" w:hAnsi="Calibri" w:cs="Times New Roman"/>
                <w:b w:val="0"/>
                <w:color w:val="000000"/>
                <w:lang w:val="en-ZW" w:eastAsia="en-ZW"/>
              </w:rPr>
              <w:t>Herbicides ,anti-sprouting products and plant growth regulators in containers &lt;20Lor 5k</w:t>
            </w:r>
          </w:p>
        </w:tc>
        <w:tc>
          <w:tcPr>
            <w:tcW w:w="1695"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5,606,243</w:t>
            </w:r>
          </w:p>
        </w:tc>
        <w:tc>
          <w:tcPr>
            <w:tcW w:w="1440"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0.8</w:t>
            </w:r>
          </w:p>
        </w:tc>
      </w:tr>
      <w:tr w:rsidR="007F13FA" w:rsidRPr="00AB53EB" w:rsidTr="00C3288F">
        <w:trPr>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AB53EB" w:rsidRDefault="007F13FA" w:rsidP="00C3288F">
            <w:pPr>
              <w:rPr>
                <w:rFonts w:ascii="Calibri" w:eastAsia="Times New Roman" w:hAnsi="Calibri" w:cs="Times New Roman"/>
                <w:b w:val="0"/>
                <w:color w:val="000000"/>
                <w:lang w:val="en-ZW" w:eastAsia="en-ZW"/>
              </w:rPr>
            </w:pPr>
            <w:r w:rsidRPr="00AB53EB">
              <w:rPr>
                <w:rFonts w:ascii="Calibri" w:eastAsia="Times New Roman" w:hAnsi="Calibri" w:cs="Times New Roman"/>
                <w:b w:val="0"/>
                <w:color w:val="000000"/>
                <w:lang w:val="en-ZW" w:eastAsia="en-ZW"/>
              </w:rPr>
              <w:t>Medicament used for chronic illness;</w:t>
            </w:r>
            <w:r>
              <w:rPr>
                <w:rFonts w:ascii="Calibri" w:eastAsia="Times New Roman" w:hAnsi="Calibri" w:cs="Times New Roman"/>
                <w:b w:val="0"/>
                <w:color w:val="000000"/>
                <w:lang w:val="en-ZW" w:eastAsia="en-ZW"/>
              </w:rPr>
              <w:t xml:space="preserve"> </w:t>
            </w:r>
            <w:r w:rsidRPr="00AB53EB">
              <w:rPr>
                <w:rFonts w:ascii="Calibri" w:eastAsia="Times New Roman" w:hAnsi="Calibri" w:cs="Times New Roman"/>
                <w:b w:val="0"/>
                <w:color w:val="000000"/>
                <w:lang w:val="en-ZW" w:eastAsia="en-ZW"/>
              </w:rPr>
              <w:t>approved by Secretary for Health</w:t>
            </w:r>
          </w:p>
        </w:tc>
        <w:tc>
          <w:tcPr>
            <w:tcW w:w="1695" w:type="dxa"/>
            <w:noWrap/>
            <w:hideMark/>
          </w:tcPr>
          <w:p w:rsidR="007F13FA" w:rsidRPr="00AB53EB" w:rsidRDefault="007F13FA" w:rsidP="00C3288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5,187,571</w:t>
            </w:r>
          </w:p>
        </w:tc>
        <w:tc>
          <w:tcPr>
            <w:tcW w:w="1440" w:type="dxa"/>
            <w:noWrap/>
            <w:hideMark/>
          </w:tcPr>
          <w:p w:rsidR="007F13FA" w:rsidRPr="00AB53EB" w:rsidRDefault="007F13FA" w:rsidP="00C3288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0.7</w:t>
            </w:r>
          </w:p>
        </w:tc>
      </w:tr>
      <w:tr w:rsidR="007F13FA" w:rsidRPr="00AB53EB" w:rsidTr="00C328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AB53EB" w:rsidRDefault="007F13FA" w:rsidP="00C3288F">
            <w:pPr>
              <w:rPr>
                <w:rFonts w:ascii="Calibri" w:eastAsia="Times New Roman" w:hAnsi="Calibri" w:cs="Times New Roman"/>
                <w:b w:val="0"/>
                <w:color w:val="000000"/>
                <w:lang w:val="en-ZW" w:eastAsia="en-ZW"/>
              </w:rPr>
            </w:pPr>
            <w:r w:rsidRPr="00AB53EB">
              <w:rPr>
                <w:rFonts w:ascii="Calibri" w:eastAsia="Times New Roman" w:hAnsi="Calibri" w:cs="Times New Roman"/>
                <w:b w:val="0"/>
                <w:color w:val="000000"/>
                <w:lang w:val="en-ZW" w:eastAsia="en-ZW"/>
              </w:rPr>
              <w:t>Broken rice in Bulk &gt;= 25kg</w:t>
            </w:r>
          </w:p>
        </w:tc>
        <w:tc>
          <w:tcPr>
            <w:tcW w:w="1695"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4,826,079</w:t>
            </w:r>
          </w:p>
        </w:tc>
        <w:tc>
          <w:tcPr>
            <w:tcW w:w="1440"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0.7</w:t>
            </w:r>
          </w:p>
        </w:tc>
      </w:tr>
      <w:tr w:rsidR="007F13FA" w:rsidRPr="00AB53EB" w:rsidTr="00C3288F">
        <w:trPr>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AB53EB" w:rsidRDefault="007F13FA" w:rsidP="00C3288F">
            <w:pPr>
              <w:rPr>
                <w:rFonts w:ascii="Calibri" w:eastAsia="Times New Roman" w:hAnsi="Calibri" w:cs="Times New Roman"/>
                <w:b w:val="0"/>
                <w:color w:val="000000"/>
                <w:lang w:val="en-ZW" w:eastAsia="en-ZW"/>
              </w:rPr>
            </w:pPr>
            <w:r w:rsidRPr="00AB53EB">
              <w:rPr>
                <w:rFonts w:ascii="Calibri" w:eastAsia="Times New Roman" w:hAnsi="Calibri" w:cs="Times New Roman"/>
                <w:b w:val="0"/>
                <w:color w:val="000000"/>
                <w:lang w:val="en-ZW" w:eastAsia="en-ZW"/>
              </w:rPr>
              <w:t>Polyethylene having a specific gravity &lt;0.94, in primary forms</w:t>
            </w:r>
          </w:p>
        </w:tc>
        <w:tc>
          <w:tcPr>
            <w:tcW w:w="1695" w:type="dxa"/>
            <w:noWrap/>
            <w:hideMark/>
          </w:tcPr>
          <w:p w:rsidR="007F13FA" w:rsidRPr="00AB53EB" w:rsidRDefault="007F13FA" w:rsidP="00C3288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4,739,214</w:t>
            </w:r>
          </w:p>
        </w:tc>
        <w:tc>
          <w:tcPr>
            <w:tcW w:w="1440" w:type="dxa"/>
            <w:noWrap/>
            <w:hideMark/>
          </w:tcPr>
          <w:p w:rsidR="007F13FA" w:rsidRPr="00AB53EB" w:rsidRDefault="007F13FA" w:rsidP="00C3288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0.7</w:t>
            </w:r>
          </w:p>
        </w:tc>
      </w:tr>
      <w:tr w:rsidR="007F13FA" w:rsidRPr="00AB53EB" w:rsidTr="00C328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AB53EB" w:rsidRDefault="007F13FA" w:rsidP="00C3288F">
            <w:pPr>
              <w:rPr>
                <w:rFonts w:ascii="Calibri" w:eastAsia="Times New Roman" w:hAnsi="Calibri" w:cs="Times New Roman"/>
                <w:b w:val="0"/>
                <w:color w:val="000000"/>
                <w:lang w:val="en-ZW" w:eastAsia="en-ZW"/>
              </w:rPr>
            </w:pPr>
            <w:r w:rsidRPr="00AB53EB">
              <w:rPr>
                <w:rFonts w:ascii="Calibri" w:eastAsia="Times New Roman" w:hAnsi="Calibri" w:cs="Times New Roman"/>
                <w:b w:val="0"/>
                <w:color w:val="000000"/>
                <w:lang w:val="en-ZW" w:eastAsia="en-ZW"/>
              </w:rPr>
              <w:t>Ammonium dihydrogenorthophosphate (monoammonium phosphate)</w:t>
            </w:r>
          </w:p>
        </w:tc>
        <w:tc>
          <w:tcPr>
            <w:tcW w:w="1695"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4,660,177</w:t>
            </w:r>
          </w:p>
        </w:tc>
        <w:tc>
          <w:tcPr>
            <w:tcW w:w="1440"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0.7</w:t>
            </w:r>
          </w:p>
        </w:tc>
      </w:tr>
      <w:tr w:rsidR="007F13FA" w:rsidRPr="00AB53EB" w:rsidTr="00C3288F">
        <w:trPr>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AB53EB" w:rsidRDefault="007F13FA" w:rsidP="00C3288F">
            <w:pPr>
              <w:rPr>
                <w:rFonts w:ascii="Calibri" w:eastAsia="Times New Roman" w:hAnsi="Calibri" w:cs="Times New Roman"/>
                <w:b w:val="0"/>
                <w:color w:val="000000"/>
                <w:lang w:val="en-ZW" w:eastAsia="en-ZW"/>
              </w:rPr>
            </w:pPr>
            <w:r w:rsidRPr="00AB53EB">
              <w:rPr>
                <w:rFonts w:ascii="Calibri" w:eastAsia="Times New Roman" w:hAnsi="Calibri" w:cs="Times New Roman"/>
                <w:b w:val="0"/>
                <w:color w:val="000000"/>
                <w:lang w:val="en-ZW" w:eastAsia="en-ZW"/>
              </w:rPr>
              <w:t>Lubricating oils &amp; blending stocks for lubricating oil in packings &lt; 210 litres</w:t>
            </w:r>
          </w:p>
        </w:tc>
        <w:tc>
          <w:tcPr>
            <w:tcW w:w="1695" w:type="dxa"/>
            <w:noWrap/>
            <w:hideMark/>
          </w:tcPr>
          <w:p w:rsidR="007F13FA" w:rsidRPr="00AB53EB" w:rsidRDefault="007F13FA" w:rsidP="00C3288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4,601,448</w:t>
            </w:r>
          </w:p>
        </w:tc>
        <w:tc>
          <w:tcPr>
            <w:tcW w:w="1440" w:type="dxa"/>
            <w:noWrap/>
            <w:hideMark/>
          </w:tcPr>
          <w:p w:rsidR="007F13FA" w:rsidRPr="00AB53EB" w:rsidRDefault="007F13FA" w:rsidP="00C3288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0.7</w:t>
            </w:r>
          </w:p>
        </w:tc>
      </w:tr>
      <w:tr w:rsidR="007F13FA" w:rsidRPr="00AB53EB" w:rsidTr="00C328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AB53EB" w:rsidRDefault="007F13FA" w:rsidP="00C3288F">
            <w:pPr>
              <w:rPr>
                <w:rFonts w:ascii="Calibri" w:eastAsia="Times New Roman" w:hAnsi="Calibri" w:cs="Times New Roman"/>
                <w:b w:val="0"/>
                <w:color w:val="000000"/>
                <w:lang w:val="en-ZW" w:eastAsia="en-ZW"/>
              </w:rPr>
            </w:pPr>
            <w:r w:rsidRPr="00AB53EB">
              <w:rPr>
                <w:rFonts w:ascii="Calibri" w:eastAsia="Times New Roman" w:hAnsi="Calibri" w:cs="Times New Roman"/>
                <w:b w:val="0"/>
                <w:color w:val="000000"/>
                <w:lang w:val="en-ZW" w:eastAsia="en-ZW"/>
              </w:rPr>
              <w:t>Parts for boring or sinking machinery of subheading 8430.41 or 8430.49</w:t>
            </w:r>
          </w:p>
        </w:tc>
        <w:tc>
          <w:tcPr>
            <w:tcW w:w="1695"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4,327,365</w:t>
            </w:r>
          </w:p>
        </w:tc>
        <w:tc>
          <w:tcPr>
            <w:tcW w:w="1440"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0.6</w:t>
            </w:r>
          </w:p>
        </w:tc>
      </w:tr>
      <w:tr w:rsidR="007F13FA" w:rsidRPr="00AB53EB" w:rsidTr="00C3288F">
        <w:trPr>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AB53EB" w:rsidRDefault="007F13FA" w:rsidP="00C3288F">
            <w:pPr>
              <w:rPr>
                <w:rFonts w:ascii="Calibri" w:eastAsia="Times New Roman" w:hAnsi="Calibri" w:cs="Times New Roman"/>
                <w:b w:val="0"/>
                <w:color w:val="000000"/>
                <w:lang w:val="en-ZW" w:eastAsia="en-ZW"/>
              </w:rPr>
            </w:pPr>
            <w:r w:rsidRPr="00AB53EB">
              <w:rPr>
                <w:rFonts w:ascii="Calibri" w:eastAsia="Times New Roman" w:hAnsi="Calibri" w:cs="Times New Roman"/>
                <w:b w:val="0"/>
                <w:color w:val="000000"/>
                <w:lang w:val="en-ZW" w:eastAsia="en-ZW"/>
              </w:rPr>
              <w:t>Other Products</w:t>
            </w:r>
          </w:p>
        </w:tc>
        <w:tc>
          <w:tcPr>
            <w:tcW w:w="1695" w:type="dxa"/>
            <w:noWrap/>
            <w:hideMark/>
          </w:tcPr>
          <w:p w:rsidR="007F13FA" w:rsidRPr="00AB53EB" w:rsidRDefault="007F13FA" w:rsidP="00C3288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402,335,234</w:t>
            </w:r>
          </w:p>
        </w:tc>
        <w:tc>
          <w:tcPr>
            <w:tcW w:w="1440" w:type="dxa"/>
            <w:noWrap/>
            <w:hideMark/>
          </w:tcPr>
          <w:p w:rsidR="007F13FA" w:rsidRPr="00AB53EB" w:rsidRDefault="007F13FA" w:rsidP="00C3288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ZW" w:eastAsia="en-ZW"/>
              </w:rPr>
            </w:pPr>
            <w:r w:rsidRPr="00AB53EB">
              <w:rPr>
                <w:rFonts w:ascii="Calibri" w:eastAsia="Times New Roman" w:hAnsi="Calibri" w:cs="Times New Roman"/>
                <w:color w:val="000000"/>
                <w:lang w:val="en-ZW" w:eastAsia="en-ZW"/>
              </w:rPr>
              <w:t>56.9</w:t>
            </w:r>
          </w:p>
        </w:tc>
      </w:tr>
      <w:tr w:rsidR="007F13FA" w:rsidRPr="00F74548" w:rsidTr="00C328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50" w:type="dxa"/>
            <w:noWrap/>
            <w:hideMark/>
          </w:tcPr>
          <w:p w:rsidR="007F13FA" w:rsidRPr="00F74548" w:rsidRDefault="007F13FA" w:rsidP="007F13FA">
            <w:pPr>
              <w:pStyle w:val="ListParagraph"/>
              <w:numPr>
                <w:ilvl w:val="0"/>
                <w:numId w:val="4"/>
              </w:numPr>
              <w:spacing w:after="0" w:line="240" w:lineRule="auto"/>
              <w:ind w:left="0" w:hanging="567"/>
              <w:jc w:val="both"/>
              <w:rPr>
                <w:rFonts w:ascii="Tahoma" w:hAnsi="Tahoma" w:cs="Tahoma"/>
                <w:sz w:val="20"/>
                <w:szCs w:val="20"/>
                <w:lang w:val="en-US"/>
              </w:rPr>
            </w:pPr>
            <w:r w:rsidRPr="00F74548">
              <w:rPr>
                <w:rFonts w:ascii="Tahoma" w:hAnsi="Tahoma" w:cs="Tahoma"/>
                <w:sz w:val="20"/>
                <w:szCs w:val="20"/>
                <w:lang w:val="en-US"/>
              </w:rPr>
              <w:t xml:space="preserve">Grand Total </w:t>
            </w:r>
          </w:p>
        </w:tc>
        <w:tc>
          <w:tcPr>
            <w:tcW w:w="1695" w:type="dxa"/>
            <w:noWrap/>
            <w:hideMark/>
          </w:tcPr>
          <w:p w:rsidR="007F13FA" w:rsidRPr="00AB53EB" w:rsidRDefault="007F13FA" w:rsidP="00C3288F">
            <w:pPr>
              <w:jc w:val="right"/>
              <w:cnfStyle w:val="000000100000" w:firstRow="0" w:lastRow="0" w:firstColumn="0" w:lastColumn="0" w:oddVBand="0" w:evenVBand="0" w:oddHBand="1" w:evenHBand="0" w:firstRowFirstColumn="0" w:firstRowLastColumn="0" w:lastRowFirstColumn="0" w:lastRowLastColumn="0"/>
              <w:rPr>
                <w:rFonts w:ascii="Calibri" w:hAnsi="Calibri"/>
                <w:b/>
                <w:color w:val="000000"/>
              </w:rPr>
            </w:pPr>
            <w:r w:rsidRPr="00AB53EB">
              <w:rPr>
                <w:rFonts w:ascii="Calibri" w:hAnsi="Calibri"/>
                <w:b/>
                <w:color w:val="000000"/>
              </w:rPr>
              <w:t>707,254,483</w:t>
            </w:r>
          </w:p>
          <w:p w:rsidR="007F13FA" w:rsidRPr="00F74548" w:rsidRDefault="007F13FA" w:rsidP="00C3288F">
            <w:pPr>
              <w:pStyle w:val="ListParagraph"/>
              <w:spacing w:after="0" w:line="240" w:lineRule="auto"/>
              <w:ind w:left="0"/>
              <w:jc w:val="right"/>
              <w:cnfStyle w:val="000000100000" w:firstRow="0" w:lastRow="0" w:firstColumn="0" w:lastColumn="0" w:oddVBand="0" w:evenVBand="0" w:oddHBand="1" w:evenHBand="0" w:firstRowFirstColumn="0" w:firstRowLastColumn="0" w:lastRowFirstColumn="0" w:lastRowLastColumn="0"/>
              <w:rPr>
                <w:rFonts w:ascii="Tahoma" w:hAnsi="Tahoma" w:cs="Tahoma"/>
                <w:b/>
                <w:sz w:val="20"/>
                <w:szCs w:val="20"/>
                <w:lang w:val="en-US"/>
              </w:rPr>
            </w:pPr>
          </w:p>
        </w:tc>
        <w:tc>
          <w:tcPr>
            <w:tcW w:w="1440" w:type="dxa"/>
            <w:noWrap/>
            <w:hideMark/>
          </w:tcPr>
          <w:p w:rsidR="007F13FA" w:rsidRPr="00F74548" w:rsidRDefault="007F13FA" w:rsidP="007F13FA">
            <w:pPr>
              <w:pStyle w:val="ListParagraph"/>
              <w:numPr>
                <w:ilvl w:val="0"/>
                <w:numId w:val="4"/>
              </w:numPr>
              <w:spacing w:after="0" w:line="240" w:lineRule="auto"/>
              <w:ind w:left="0" w:hanging="567"/>
              <w:jc w:val="both"/>
              <w:cnfStyle w:val="000000100000" w:firstRow="0" w:lastRow="0" w:firstColumn="0" w:lastColumn="0" w:oddVBand="0" w:evenVBand="0" w:oddHBand="1" w:evenHBand="0" w:firstRowFirstColumn="0" w:firstRowLastColumn="0" w:lastRowFirstColumn="0" w:lastRowLastColumn="0"/>
              <w:rPr>
                <w:rFonts w:ascii="Tahoma" w:hAnsi="Tahoma" w:cs="Tahoma"/>
                <w:b/>
                <w:sz w:val="28"/>
                <w:szCs w:val="28"/>
                <w:lang w:val="en-US"/>
              </w:rPr>
            </w:pPr>
          </w:p>
        </w:tc>
      </w:tr>
    </w:tbl>
    <w:p w:rsidR="007F13FA" w:rsidRDefault="007F13FA" w:rsidP="007F13FA">
      <w:pPr>
        <w:spacing w:after="0" w:line="360" w:lineRule="auto"/>
        <w:jc w:val="both"/>
        <w:rPr>
          <w:rFonts w:ascii="Tahoma" w:hAnsi="Tahoma" w:cs="Tahoma"/>
          <w:b/>
          <w:sz w:val="28"/>
          <w:szCs w:val="28"/>
        </w:rPr>
      </w:pPr>
      <w:r>
        <w:rPr>
          <w:rFonts w:ascii="Tahoma" w:hAnsi="Tahoma" w:cs="Tahoma"/>
          <w:b/>
          <w:i/>
          <w:sz w:val="16"/>
          <w:szCs w:val="16"/>
        </w:rPr>
        <w:t>ZIMSTAT &amp; MOFED Calculations</w:t>
      </w:r>
    </w:p>
    <w:p w:rsidR="007F13FA" w:rsidRDefault="007F13FA" w:rsidP="007F13FA">
      <w:pPr>
        <w:spacing w:after="0" w:line="360" w:lineRule="auto"/>
        <w:jc w:val="both"/>
        <w:rPr>
          <w:rFonts w:ascii="Tahoma" w:hAnsi="Tahoma" w:cs="Tahoma"/>
          <w:b/>
          <w:sz w:val="28"/>
          <w:szCs w:val="28"/>
        </w:rPr>
      </w:pPr>
    </w:p>
    <w:p w:rsidR="007F13FA" w:rsidRPr="000948C0" w:rsidRDefault="007F13FA" w:rsidP="000948C0">
      <w:pPr>
        <w:pStyle w:val="ListParagraph"/>
        <w:numPr>
          <w:ilvl w:val="0"/>
          <w:numId w:val="1"/>
        </w:numPr>
        <w:spacing w:after="160" w:line="360" w:lineRule="auto"/>
        <w:ind w:left="567" w:hanging="567"/>
        <w:jc w:val="both"/>
        <w:rPr>
          <w:rFonts w:ascii="Tahoma" w:hAnsi="Tahoma" w:cs="Tahoma"/>
          <w:sz w:val="24"/>
          <w:szCs w:val="24"/>
        </w:rPr>
      </w:pPr>
      <w:r w:rsidRPr="000948C0">
        <w:rPr>
          <w:rFonts w:ascii="Tahoma" w:hAnsi="Tahoma" w:cs="Tahoma"/>
          <w:sz w:val="24"/>
          <w:szCs w:val="24"/>
        </w:rPr>
        <w:t xml:space="preserve">The major import sources during the period under review were South Africa, Singapore, and China, contributing 33%, 27%, 10%, respectively. </w:t>
      </w:r>
    </w:p>
    <w:p w:rsidR="007F13FA" w:rsidRDefault="007F13FA" w:rsidP="007F13FA">
      <w:pPr>
        <w:pStyle w:val="ListParagraph"/>
        <w:spacing w:after="0" w:line="240" w:lineRule="auto"/>
        <w:ind w:left="0"/>
        <w:jc w:val="both"/>
        <w:rPr>
          <w:rFonts w:ascii="Tahoma" w:hAnsi="Tahoma" w:cs="Tahoma"/>
          <w:b/>
          <w:sz w:val="28"/>
          <w:szCs w:val="28"/>
        </w:rPr>
      </w:pPr>
    </w:p>
    <w:p w:rsidR="007F13FA" w:rsidRPr="00192AF7" w:rsidRDefault="007F13FA" w:rsidP="00192AF7">
      <w:pPr>
        <w:spacing w:after="0" w:line="240" w:lineRule="auto"/>
        <w:jc w:val="both"/>
        <w:rPr>
          <w:rFonts w:ascii="Tahoma" w:hAnsi="Tahoma" w:cs="Tahoma"/>
          <w:b/>
          <w:sz w:val="24"/>
          <w:szCs w:val="24"/>
        </w:rPr>
      </w:pPr>
      <w:r w:rsidRPr="00192AF7">
        <w:rPr>
          <w:rFonts w:ascii="Tahoma" w:hAnsi="Tahoma" w:cs="Tahoma"/>
          <w:b/>
          <w:sz w:val="24"/>
          <w:szCs w:val="24"/>
        </w:rPr>
        <w:t>Imports by Country (Jan-Feb 19)</w:t>
      </w:r>
    </w:p>
    <w:p w:rsidR="007F13FA" w:rsidRPr="003C19D1" w:rsidRDefault="007F13FA" w:rsidP="007F13FA">
      <w:pPr>
        <w:pStyle w:val="ListParagraph"/>
        <w:spacing w:after="0" w:line="240" w:lineRule="auto"/>
        <w:ind w:left="0"/>
        <w:jc w:val="both"/>
        <w:rPr>
          <w:rFonts w:ascii="Tahoma" w:hAnsi="Tahoma" w:cs="Tahoma"/>
          <w:b/>
          <w:sz w:val="28"/>
          <w:szCs w:val="28"/>
        </w:rPr>
      </w:pPr>
      <w:r>
        <w:rPr>
          <w:noProof/>
          <w:lang w:eastAsia="en-ZW"/>
        </w:rPr>
        <w:lastRenderedPageBreak/>
        <w:drawing>
          <wp:inline distT="0" distB="0" distL="0" distR="0" wp14:anchorId="2BBEC557" wp14:editId="50A56921">
            <wp:extent cx="5915025" cy="2743200"/>
            <wp:effectExtent l="0" t="0" r="9525"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F13FA" w:rsidRPr="003C19D1" w:rsidRDefault="007F13FA" w:rsidP="007F13FA">
      <w:pPr>
        <w:spacing w:after="0" w:line="360" w:lineRule="auto"/>
        <w:jc w:val="both"/>
        <w:rPr>
          <w:rFonts w:ascii="Tahoma" w:hAnsi="Tahoma" w:cs="Tahoma"/>
          <w:b/>
          <w:sz w:val="28"/>
          <w:szCs w:val="28"/>
        </w:rPr>
      </w:pPr>
      <w:r w:rsidRPr="00871842">
        <w:rPr>
          <w:rFonts w:ascii="Tahoma" w:hAnsi="Tahoma" w:cs="Tahoma"/>
          <w:b/>
          <w:i/>
          <w:sz w:val="20"/>
          <w:szCs w:val="20"/>
        </w:rPr>
        <w:t>Source: ZIMSTAT</w:t>
      </w:r>
      <w:r>
        <w:rPr>
          <w:rFonts w:ascii="Tahoma" w:hAnsi="Tahoma" w:cs="Tahoma"/>
          <w:b/>
          <w:i/>
          <w:sz w:val="20"/>
          <w:szCs w:val="20"/>
        </w:rPr>
        <w:t xml:space="preserve"> </w:t>
      </w:r>
      <w:r>
        <w:rPr>
          <w:rFonts w:ascii="Tahoma" w:hAnsi="Tahoma" w:cs="Tahoma"/>
          <w:b/>
          <w:i/>
          <w:sz w:val="16"/>
          <w:szCs w:val="16"/>
        </w:rPr>
        <w:t>&amp; MOFED Calculations</w:t>
      </w:r>
      <w:r w:rsidRPr="00871842">
        <w:rPr>
          <w:rFonts w:ascii="Tahoma" w:hAnsi="Tahoma" w:cs="Tahoma"/>
          <w:b/>
          <w:i/>
          <w:sz w:val="20"/>
          <w:szCs w:val="20"/>
        </w:rPr>
        <w:t xml:space="preserve"> </w:t>
      </w:r>
    </w:p>
    <w:p w:rsidR="00B56680" w:rsidRDefault="00B56680" w:rsidP="007F13FA">
      <w:pPr>
        <w:pStyle w:val="ListParagraph"/>
        <w:spacing w:after="0" w:line="240" w:lineRule="auto"/>
        <w:jc w:val="both"/>
        <w:rPr>
          <w:rFonts w:ascii="Tahoma" w:hAnsi="Tahoma" w:cs="Tahoma"/>
          <w:b/>
          <w:sz w:val="28"/>
          <w:szCs w:val="28"/>
        </w:rPr>
      </w:pPr>
    </w:p>
    <w:p w:rsidR="007F13FA" w:rsidRPr="003C19D1" w:rsidRDefault="007F13FA" w:rsidP="007F13FA">
      <w:pPr>
        <w:pStyle w:val="ListParagraph"/>
        <w:spacing w:after="0" w:line="240" w:lineRule="auto"/>
        <w:jc w:val="both"/>
        <w:rPr>
          <w:rFonts w:ascii="Tahoma" w:hAnsi="Tahoma" w:cs="Tahoma"/>
          <w:b/>
          <w:sz w:val="28"/>
          <w:szCs w:val="28"/>
        </w:rPr>
      </w:pPr>
      <w:r w:rsidRPr="003C19D1">
        <w:rPr>
          <w:rFonts w:ascii="Tahoma" w:hAnsi="Tahoma" w:cs="Tahoma"/>
          <w:b/>
          <w:sz w:val="28"/>
          <w:szCs w:val="28"/>
        </w:rPr>
        <w:t xml:space="preserve">Trade Balance </w:t>
      </w:r>
    </w:p>
    <w:p w:rsidR="007F13FA" w:rsidRDefault="007F13FA" w:rsidP="007F13FA">
      <w:pPr>
        <w:pStyle w:val="ListParagraph"/>
        <w:spacing w:after="0" w:line="360" w:lineRule="auto"/>
        <w:ind w:left="0"/>
        <w:jc w:val="both"/>
        <w:rPr>
          <w:rFonts w:ascii="Tahoma" w:hAnsi="Tahoma" w:cs="Tahoma"/>
          <w:sz w:val="28"/>
          <w:szCs w:val="28"/>
        </w:rPr>
      </w:pPr>
    </w:p>
    <w:p w:rsidR="007F13FA" w:rsidRPr="000948C0" w:rsidRDefault="007F13FA" w:rsidP="000948C0">
      <w:pPr>
        <w:pStyle w:val="ListParagraph"/>
        <w:numPr>
          <w:ilvl w:val="0"/>
          <w:numId w:val="1"/>
        </w:numPr>
        <w:spacing w:after="160" w:line="360" w:lineRule="auto"/>
        <w:ind w:left="567" w:hanging="567"/>
        <w:jc w:val="both"/>
        <w:rPr>
          <w:rFonts w:ascii="Tahoma" w:hAnsi="Tahoma" w:cs="Tahoma"/>
          <w:sz w:val="24"/>
          <w:szCs w:val="24"/>
        </w:rPr>
      </w:pPr>
      <w:r w:rsidRPr="000948C0">
        <w:rPr>
          <w:rFonts w:ascii="Tahoma" w:hAnsi="Tahoma" w:cs="Tahoma"/>
          <w:sz w:val="24"/>
          <w:szCs w:val="24"/>
        </w:rPr>
        <w:t xml:space="preserve">Resultantly, the trade deficit for the first quarter of 2019 stood at US$90.6 million, </w:t>
      </w:r>
      <w:r w:rsidR="00B56680" w:rsidRPr="000948C0">
        <w:rPr>
          <w:rFonts w:ascii="Tahoma" w:hAnsi="Tahoma" w:cs="Tahoma"/>
          <w:sz w:val="24"/>
          <w:szCs w:val="24"/>
        </w:rPr>
        <w:t xml:space="preserve">constituting a </w:t>
      </w:r>
      <w:r w:rsidRPr="000948C0">
        <w:rPr>
          <w:rFonts w:ascii="Tahoma" w:hAnsi="Tahoma" w:cs="Tahoma"/>
          <w:sz w:val="24"/>
          <w:szCs w:val="24"/>
        </w:rPr>
        <w:t xml:space="preserve">76% improvement from the 2018 fourth quarter deficit of US$384.5 million.  </w:t>
      </w:r>
      <w:r w:rsidR="00192AF7" w:rsidRPr="00861104">
        <w:rPr>
          <w:rFonts w:ascii="Tahoma" w:hAnsi="Tahoma" w:cs="Tahoma"/>
          <w:sz w:val="24"/>
          <w:szCs w:val="24"/>
        </w:rPr>
        <w:t xml:space="preserve">In comparison to </w:t>
      </w:r>
      <w:r w:rsidR="00192AF7">
        <w:rPr>
          <w:rFonts w:ascii="Tahoma" w:hAnsi="Tahoma" w:cs="Tahoma"/>
          <w:sz w:val="24"/>
          <w:szCs w:val="24"/>
        </w:rPr>
        <w:t xml:space="preserve">the </w:t>
      </w:r>
      <w:r w:rsidR="00B56680" w:rsidRPr="000948C0">
        <w:rPr>
          <w:rFonts w:ascii="Tahoma" w:hAnsi="Tahoma" w:cs="Tahoma"/>
          <w:sz w:val="24"/>
          <w:szCs w:val="24"/>
        </w:rPr>
        <w:t xml:space="preserve">first quarter of 2018, the current </w:t>
      </w:r>
      <w:r w:rsidRPr="000948C0">
        <w:rPr>
          <w:rFonts w:ascii="Tahoma" w:hAnsi="Tahoma" w:cs="Tahoma"/>
          <w:sz w:val="24"/>
          <w:szCs w:val="24"/>
        </w:rPr>
        <w:t>trade deficit improved by 88%</w:t>
      </w:r>
      <w:r w:rsidR="000948C0" w:rsidRPr="000948C0">
        <w:rPr>
          <w:rFonts w:ascii="Tahoma" w:hAnsi="Tahoma" w:cs="Tahoma"/>
          <w:sz w:val="24"/>
          <w:szCs w:val="24"/>
        </w:rPr>
        <w:t xml:space="preserve">. </w:t>
      </w:r>
    </w:p>
    <w:p w:rsidR="007F13FA" w:rsidRDefault="007F13FA" w:rsidP="007F13FA">
      <w:pPr>
        <w:spacing w:after="0" w:line="360" w:lineRule="auto"/>
        <w:jc w:val="both"/>
        <w:rPr>
          <w:rFonts w:ascii="Tahoma" w:hAnsi="Tahoma" w:cs="Tahoma"/>
          <w:sz w:val="28"/>
          <w:szCs w:val="28"/>
        </w:rPr>
      </w:pPr>
    </w:p>
    <w:p w:rsidR="007F13FA" w:rsidRPr="00192AF7" w:rsidRDefault="007F13FA" w:rsidP="007F13FA">
      <w:pPr>
        <w:spacing w:after="0" w:line="240" w:lineRule="auto"/>
        <w:jc w:val="both"/>
        <w:rPr>
          <w:rFonts w:ascii="Tahoma" w:hAnsi="Tahoma" w:cs="Tahoma"/>
          <w:b/>
          <w:sz w:val="24"/>
          <w:szCs w:val="24"/>
        </w:rPr>
      </w:pPr>
      <w:r w:rsidRPr="00192AF7">
        <w:rPr>
          <w:rFonts w:ascii="Tahoma" w:hAnsi="Tahoma" w:cs="Tahoma"/>
          <w:b/>
          <w:sz w:val="24"/>
          <w:szCs w:val="24"/>
        </w:rPr>
        <w:t xml:space="preserve">Trade Balance </w:t>
      </w:r>
    </w:p>
    <w:p w:rsidR="007F13FA" w:rsidRDefault="007F13FA" w:rsidP="007F13FA">
      <w:pPr>
        <w:spacing w:after="0" w:line="240" w:lineRule="auto"/>
        <w:jc w:val="both"/>
        <w:rPr>
          <w:rFonts w:ascii="Tahoma" w:hAnsi="Tahoma" w:cs="Tahoma"/>
          <w:b/>
          <w:sz w:val="28"/>
          <w:szCs w:val="28"/>
        </w:rPr>
      </w:pPr>
    </w:p>
    <w:p w:rsidR="007F13FA" w:rsidRDefault="007F13FA" w:rsidP="007F13FA">
      <w:pPr>
        <w:spacing w:after="0" w:line="240" w:lineRule="auto"/>
        <w:jc w:val="both"/>
        <w:rPr>
          <w:rFonts w:ascii="Tahoma" w:hAnsi="Tahoma" w:cs="Tahoma"/>
          <w:b/>
          <w:sz w:val="28"/>
          <w:szCs w:val="28"/>
        </w:rPr>
      </w:pPr>
      <w:r>
        <w:rPr>
          <w:noProof/>
          <w:lang w:val="en-ZW" w:eastAsia="en-ZW"/>
        </w:rPr>
        <w:lastRenderedPageBreak/>
        <w:drawing>
          <wp:inline distT="0" distB="0" distL="0" distR="0" wp14:anchorId="74BEFE9C" wp14:editId="5E3AAEE4">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F13FA" w:rsidRDefault="007F13FA" w:rsidP="007F13FA">
      <w:pPr>
        <w:spacing w:after="0" w:line="240" w:lineRule="auto"/>
        <w:jc w:val="both"/>
        <w:rPr>
          <w:rFonts w:ascii="Tahoma" w:hAnsi="Tahoma" w:cs="Tahoma"/>
          <w:b/>
          <w:sz w:val="28"/>
          <w:szCs w:val="28"/>
        </w:rPr>
      </w:pPr>
    </w:p>
    <w:p w:rsidR="007F13FA" w:rsidRDefault="007F13FA" w:rsidP="000948C0">
      <w:pPr>
        <w:spacing w:after="0" w:line="360" w:lineRule="auto"/>
        <w:jc w:val="both"/>
        <w:rPr>
          <w:rFonts w:ascii="Tahoma" w:hAnsi="Tahoma" w:cs="Tahoma"/>
          <w:b/>
          <w:i/>
          <w:sz w:val="16"/>
          <w:szCs w:val="16"/>
        </w:rPr>
      </w:pPr>
      <w:r w:rsidRPr="00693457">
        <w:rPr>
          <w:rFonts w:ascii="Tahoma" w:hAnsi="Tahoma" w:cs="Tahoma"/>
          <w:b/>
          <w:i/>
          <w:sz w:val="16"/>
          <w:szCs w:val="16"/>
        </w:rPr>
        <w:t>Source: ZIMSTAT</w:t>
      </w:r>
      <w:r>
        <w:rPr>
          <w:rFonts w:ascii="Tahoma" w:hAnsi="Tahoma" w:cs="Tahoma"/>
          <w:b/>
          <w:i/>
          <w:sz w:val="16"/>
          <w:szCs w:val="16"/>
        </w:rPr>
        <w:t xml:space="preserve"> &amp; MOFED Calculations</w:t>
      </w:r>
    </w:p>
    <w:p w:rsidR="000948C0" w:rsidRPr="000948C0" w:rsidRDefault="000948C0" w:rsidP="000948C0">
      <w:pPr>
        <w:spacing w:after="0" w:line="360" w:lineRule="auto"/>
        <w:jc w:val="both"/>
        <w:rPr>
          <w:rFonts w:ascii="Tahoma" w:hAnsi="Tahoma" w:cs="Tahoma"/>
          <w:b/>
          <w:i/>
          <w:sz w:val="16"/>
          <w:szCs w:val="16"/>
        </w:rPr>
      </w:pPr>
    </w:p>
    <w:p w:rsidR="000948C0" w:rsidRDefault="000948C0" w:rsidP="000948C0">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However, there is much more scope for managing the import bill targeting other non-essential imports imbedded in the $402.3 million as indicated under the table above.</w:t>
      </w:r>
    </w:p>
    <w:p w:rsidR="00257250" w:rsidRPr="00173935" w:rsidRDefault="00257250" w:rsidP="000948C0">
      <w:pPr>
        <w:pStyle w:val="ListParagraph"/>
        <w:spacing w:after="0" w:line="360" w:lineRule="auto"/>
        <w:ind w:left="0"/>
        <w:jc w:val="both"/>
        <w:rPr>
          <w:rFonts w:ascii="Tahoma" w:hAnsi="Tahoma" w:cs="Tahoma"/>
          <w:sz w:val="24"/>
          <w:szCs w:val="24"/>
        </w:rPr>
      </w:pPr>
    </w:p>
    <w:p w:rsidR="00257250" w:rsidRDefault="00E33372" w:rsidP="00C3288F">
      <w:pPr>
        <w:spacing w:after="0" w:line="240" w:lineRule="auto"/>
        <w:ind w:firstLine="567"/>
        <w:jc w:val="both"/>
        <w:rPr>
          <w:rFonts w:ascii="Tahoma" w:eastAsiaTheme="majorEastAsia" w:hAnsi="Tahoma" w:cs="Tahoma"/>
          <w:b/>
          <w:sz w:val="24"/>
          <w:szCs w:val="24"/>
        </w:rPr>
      </w:pPr>
      <w:r w:rsidRPr="00E33372">
        <w:rPr>
          <w:rFonts w:ascii="Tahoma" w:eastAsiaTheme="majorEastAsia" w:hAnsi="Tahoma" w:cs="Tahoma"/>
          <w:b/>
          <w:sz w:val="24"/>
          <w:szCs w:val="24"/>
        </w:rPr>
        <w:t xml:space="preserve">STRUCTURAL ISSUES </w:t>
      </w:r>
    </w:p>
    <w:p w:rsidR="00E33372" w:rsidRDefault="00E33372" w:rsidP="00AE659E">
      <w:pPr>
        <w:spacing w:after="0" w:line="240" w:lineRule="auto"/>
        <w:jc w:val="both"/>
        <w:rPr>
          <w:rFonts w:ascii="Tahoma" w:hAnsi="Tahoma" w:cs="Tahoma"/>
          <w:sz w:val="24"/>
          <w:szCs w:val="24"/>
        </w:rPr>
      </w:pPr>
    </w:p>
    <w:p w:rsidR="00257250" w:rsidRPr="00C3288F" w:rsidRDefault="00E33372" w:rsidP="00E33372">
      <w:pPr>
        <w:spacing w:after="0" w:line="240" w:lineRule="auto"/>
        <w:ind w:firstLine="720"/>
        <w:jc w:val="both"/>
        <w:rPr>
          <w:rFonts w:ascii="Tahoma" w:hAnsi="Tahoma" w:cs="Tahoma"/>
          <w:b/>
          <w:i/>
          <w:sz w:val="24"/>
          <w:szCs w:val="24"/>
        </w:rPr>
      </w:pPr>
      <w:r w:rsidRPr="00C3288F">
        <w:rPr>
          <w:rFonts w:ascii="Tahoma" w:hAnsi="Tahoma" w:cs="Tahoma"/>
          <w:b/>
          <w:i/>
          <w:sz w:val="24"/>
          <w:szCs w:val="24"/>
        </w:rPr>
        <w:t xml:space="preserve">Reform of Public Enterprises </w:t>
      </w:r>
    </w:p>
    <w:p w:rsidR="00E33372" w:rsidRPr="00E33372" w:rsidRDefault="00E33372" w:rsidP="00E33372">
      <w:pPr>
        <w:spacing w:after="0" w:line="240" w:lineRule="auto"/>
        <w:ind w:firstLine="720"/>
        <w:jc w:val="both"/>
        <w:rPr>
          <w:rFonts w:ascii="Tahoma" w:hAnsi="Tahoma" w:cs="Tahoma"/>
          <w:b/>
          <w:sz w:val="24"/>
          <w:szCs w:val="24"/>
          <w:highlight w:val="yellow"/>
        </w:rPr>
      </w:pPr>
    </w:p>
    <w:p w:rsidR="00C3288F" w:rsidRPr="000E54F3" w:rsidRDefault="006E1BBA" w:rsidP="00C3288F">
      <w:pPr>
        <w:pStyle w:val="ListParagraph"/>
        <w:numPr>
          <w:ilvl w:val="0"/>
          <w:numId w:val="1"/>
        </w:numPr>
        <w:spacing w:after="160" w:line="360" w:lineRule="auto"/>
        <w:ind w:left="567" w:hanging="567"/>
        <w:jc w:val="both"/>
        <w:rPr>
          <w:rFonts w:ascii="Tahoma" w:hAnsi="Tahoma" w:cs="Tahoma"/>
          <w:sz w:val="24"/>
          <w:szCs w:val="24"/>
          <w:lang w:val="en-US"/>
        </w:rPr>
      </w:pPr>
      <w:r>
        <w:rPr>
          <w:rFonts w:ascii="Tahoma" w:hAnsi="Tahoma" w:cs="Tahoma"/>
          <w:sz w:val="24"/>
          <w:szCs w:val="24"/>
          <w:lang w:val="en-US"/>
        </w:rPr>
        <w:t>I</w:t>
      </w:r>
      <w:r w:rsidR="00C3288F" w:rsidRPr="000E54F3">
        <w:rPr>
          <w:rFonts w:ascii="Tahoma" w:hAnsi="Tahoma" w:cs="Tahoma"/>
          <w:sz w:val="24"/>
          <w:szCs w:val="24"/>
          <w:lang w:val="en-US"/>
        </w:rPr>
        <w:t xml:space="preserve">mplementation of the </w:t>
      </w:r>
      <w:r>
        <w:rPr>
          <w:rFonts w:ascii="Tahoma" w:hAnsi="Tahoma" w:cs="Tahoma"/>
          <w:sz w:val="24"/>
          <w:szCs w:val="24"/>
          <w:lang w:val="en-US"/>
        </w:rPr>
        <w:t>Public Enterprises r</w:t>
      </w:r>
      <w:r w:rsidR="00C3288F" w:rsidRPr="000E54F3">
        <w:rPr>
          <w:rFonts w:ascii="Tahoma" w:hAnsi="Tahoma" w:cs="Tahoma"/>
          <w:sz w:val="24"/>
          <w:szCs w:val="24"/>
          <w:lang w:val="en-US"/>
        </w:rPr>
        <w:t>eform</w:t>
      </w:r>
      <w:r>
        <w:rPr>
          <w:rFonts w:ascii="Tahoma" w:hAnsi="Tahoma" w:cs="Tahoma"/>
          <w:sz w:val="24"/>
          <w:szCs w:val="24"/>
          <w:lang w:val="en-US"/>
        </w:rPr>
        <w:t>s</w:t>
      </w:r>
      <w:r w:rsidR="00C3288F" w:rsidRPr="000E54F3">
        <w:rPr>
          <w:rFonts w:ascii="Tahoma" w:hAnsi="Tahoma" w:cs="Tahoma"/>
          <w:sz w:val="24"/>
          <w:szCs w:val="24"/>
          <w:lang w:val="en-US"/>
        </w:rPr>
        <w:t xml:space="preserve"> </w:t>
      </w:r>
      <w:r>
        <w:rPr>
          <w:rFonts w:ascii="Tahoma" w:hAnsi="Tahoma" w:cs="Tahoma"/>
          <w:sz w:val="24"/>
          <w:szCs w:val="24"/>
          <w:lang w:val="en-US"/>
        </w:rPr>
        <w:t>is being guided by the Cabinet Decision of 10 April 2018</w:t>
      </w:r>
    </w:p>
    <w:p w:rsidR="00C3288F" w:rsidRPr="000E54F3" w:rsidRDefault="00C3288F" w:rsidP="00C3288F">
      <w:pPr>
        <w:spacing w:after="0" w:line="360" w:lineRule="auto"/>
        <w:jc w:val="both"/>
        <w:rPr>
          <w:rFonts w:ascii="Tahoma" w:eastAsia="Calibri" w:hAnsi="Tahoma" w:cs="Tahoma"/>
          <w:sz w:val="24"/>
          <w:szCs w:val="24"/>
        </w:rPr>
      </w:pPr>
    </w:p>
    <w:p w:rsidR="00C3288F" w:rsidRDefault="00C3288F" w:rsidP="00C3288F">
      <w:pPr>
        <w:pStyle w:val="ListParagraph"/>
        <w:numPr>
          <w:ilvl w:val="0"/>
          <w:numId w:val="1"/>
        </w:numPr>
        <w:spacing w:after="160" w:line="360" w:lineRule="auto"/>
        <w:ind w:left="567" w:hanging="567"/>
        <w:jc w:val="both"/>
        <w:rPr>
          <w:rFonts w:ascii="Tahoma" w:hAnsi="Tahoma" w:cs="Tahoma"/>
          <w:sz w:val="24"/>
          <w:szCs w:val="24"/>
          <w:lang w:val="en-US"/>
        </w:rPr>
      </w:pPr>
      <w:r w:rsidRPr="000E54F3">
        <w:rPr>
          <w:rFonts w:ascii="Tahoma" w:hAnsi="Tahoma" w:cs="Tahoma"/>
          <w:sz w:val="24"/>
          <w:szCs w:val="24"/>
          <w:lang w:val="en-US"/>
        </w:rPr>
        <w:t>To this end, the following progress is worth noting</w:t>
      </w:r>
      <w:r>
        <w:rPr>
          <w:rFonts w:ascii="Tahoma" w:hAnsi="Tahoma" w:cs="Tahoma"/>
          <w:sz w:val="24"/>
          <w:szCs w:val="24"/>
          <w:lang w:val="en-US"/>
        </w:rPr>
        <w:t xml:space="preserve">. </w:t>
      </w:r>
    </w:p>
    <w:p w:rsidR="00C3288F" w:rsidRDefault="00C3288F" w:rsidP="00C3288F">
      <w:pPr>
        <w:pStyle w:val="ListParagraph"/>
        <w:rPr>
          <w:rFonts w:ascii="Tahoma" w:hAnsi="Tahoma" w:cs="Tahoma"/>
          <w:sz w:val="24"/>
          <w:szCs w:val="24"/>
          <w:lang w:val="en-US"/>
        </w:rPr>
      </w:pPr>
    </w:p>
    <w:tbl>
      <w:tblPr>
        <w:tblStyle w:val="GridTable4-Accent5"/>
        <w:tblW w:w="0" w:type="auto"/>
        <w:tblLook w:val="04A0" w:firstRow="1" w:lastRow="0" w:firstColumn="1" w:lastColumn="0" w:noHBand="0" w:noVBand="1"/>
      </w:tblPr>
      <w:tblGrid>
        <w:gridCol w:w="2547"/>
        <w:gridCol w:w="6083"/>
      </w:tblGrid>
      <w:tr w:rsidR="00C3288F" w:rsidRPr="001305D5" w:rsidTr="00C328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rsidR="00C3288F" w:rsidRPr="00C3288F" w:rsidRDefault="00C3288F" w:rsidP="00C3288F">
            <w:pPr>
              <w:pStyle w:val="ListParagraph"/>
              <w:spacing w:line="360" w:lineRule="auto"/>
              <w:ind w:left="0"/>
              <w:rPr>
                <w:rFonts w:ascii="Tahoma" w:hAnsi="Tahoma" w:cs="Tahoma"/>
                <w:b w:val="0"/>
                <w:lang w:val="en-US"/>
              </w:rPr>
            </w:pPr>
            <w:r w:rsidRPr="00C3288F">
              <w:rPr>
                <w:rFonts w:ascii="Tahoma" w:hAnsi="Tahoma" w:cs="Tahoma"/>
                <w:lang w:val="en-US"/>
              </w:rPr>
              <w:t xml:space="preserve">Entity  </w:t>
            </w:r>
          </w:p>
        </w:tc>
        <w:tc>
          <w:tcPr>
            <w:tcW w:w="6083" w:type="dxa"/>
          </w:tcPr>
          <w:p w:rsidR="00C3288F" w:rsidRPr="00C3288F" w:rsidRDefault="00C3288F" w:rsidP="00C3288F">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Tahoma" w:hAnsi="Tahoma" w:cs="Tahoma"/>
                <w:b w:val="0"/>
                <w:lang w:val="en-US"/>
              </w:rPr>
            </w:pPr>
            <w:r w:rsidRPr="00C3288F">
              <w:rPr>
                <w:rFonts w:ascii="Tahoma" w:hAnsi="Tahoma" w:cs="Tahoma"/>
                <w:lang w:val="en-US"/>
              </w:rPr>
              <w:t xml:space="preserve">Reform Progress </w:t>
            </w:r>
          </w:p>
        </w:tc>
      </w:tr>
      <w:tr w:rsidR="00C3288F" w:rsidRPr="001305D5" w:rsidTr="00C3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C3288F" w:rsidRPr="00C3288F" w:rsidRDefault="00C3288F" w:rsidP="00C3288F">
            <w:pPr>
              <w:pStyle w:val="ListParagraph"/>
              <w:spacing w:line="360" w:lineRule="auto"/>
              <w:ind w:left="0"/>
              <w:rPr>
                <w:rFonts w:ascii="Tahoma" w:hAnsi="Tahoma" w:cs="Tahoma"/>
                <w:lang w:val="en-US"/>
              </w:rPr>
            </w:pPr>
            <w:r w:rsidRPr="00C3288F">
              <w:rPr>
                <w:rFonts w:ascii="Tahoma" w:hAnsi="Tahoma" w:cs="Tahoma"/>
                <w:lang w:val="en-US"/>
              </w:rPr>
              <w:t xml:space="preserve">GMB </w:t>
            </w:r>
          </w:p>
        </w:tc>
        <w:tc>
          <w:tcPr>
            <w:tcW w:w="6083" w:type="dxa"/>
          </w:tcPr>
          <w:p w:rsidR="00C3288F" w:rsidRPr="00C3288F" w:rsidRDefault="00C3288F" w:rsidP="00C3288F">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ahoma" w:hAnsi="Tahoma" w:cs="Tahoma"/>
                <w:lang w:val="en-US"/>
              </w:rPr>
            </w:pPr>
            <w:r w:rsidRPr="00C3288F">
              <w:rPr>
                <w:rFonts w:ascii="Tahoma" w:hAnsi="Tahoma" w:cs="Tahoma"/>
                <w:lang w:val="en-US"/>
              </w:rPr>
              <w:t>The de-merger of the GMB into GMB Strategic Grain Reserve and Silo Foods Industries has been completed. Silo now operational.</w:t>
            </w:r>
          </w:p>
        </w:tc>
      </w:tr>
      <w:tr w:rsidR="00C3288F" w:rsidRPr="001305D5" w:rsidTr="00C3288F">
        <w:tc>
          <w:tcPr>
            <w:cnfStyle w:val="001000000000" w:firstRow="0" w:lastRow="0" w:firstColumn="1" w:lastColumn="0" w:oddVBand="0" w:evenVBand="0" w:oddHBand="0" w:evenHBand="0" w:firstRowFirstColumn="0" w:firstRowLastColumn="0" w:lastRowFirstColumn="0" w:lastRowLastColumn="0"/>
            <w:tcW w:w="2547" w:type="dxa"/>
          </w:tcPr>
          <w:p w:rsidR="00C3288F" w:rsidRPr="00C3288F" w:rsidRDefault="00C3288F" w:rsidP="00C3288F">
            <w:pPr>
              <w:pStyle w:val="ListParagraph"/>
              <w:spacing w:line="360" w:lineRule="auto"/>
              <w:ind w:left="0"/>
              <w:rPr>
                <w:rFonts w:ascii="Tahoma" w:hAnsi="Tahoma" w:cs="Tahoma"/>
                <w:lang w:val="en-US"/>
              </w:rPr>
            </w:pPr>
            <w:r w:rsidRPr="00C3288F">
              <w:rPr>
                <w:rFonts w:ascii="Tahoma" w:hAnsi="Tahoma" w:cs="Tahoma"/>
                <w:lang w:val="en-US"/>
              </w:rPr>
              <w:t>NRZ and ZISCO</w:t>
            </w:r>
          </w:p>
        </w:tc>
        <w:tc>
          <w:tcPr>
            <w:tcW w:w="6083" w:type="dxa"/>
          </w:tcPr>
          <w:p w:rsidR="00C3288F" w:rsidRPr="00C3288F" w:rsidRDefault="00C3288F" w:rsidP="00C3288F">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ahoma" w:hAnsi="Tahoma" w:cs="Tahoma"/>
                <w:lang w:val="en-US"/>
              </w:rPr>
            </w:pPr>
            <w:r w:rsidRPr="00C3288F">
              <w:rPr>
                <w:rFonts w:ascii="Tahoma" w:hAnsi="Tahoma" w:cs="Tahoma"/>
                <w:lang w:val="en-US"/>
              </w:rPr>
              <w:t>Negotiations with the strategic partners for NRZ and ZISCO are at an advanced stage.</w:t>
            </w:r>
          </w:p>
        </w:tc>
      </w:tr>
      <w:tr w:rsidR="00C3288F" w:rsidRPr="001305D5" w:rsidTr="00C3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C3288F" w:rsidRPr="00C3288F" w:rsidRDefault="00C3288F" w:rsidP="00C3288F">
            <w:pPr>
              <w:pStyle w:val="ListParagraph"/>
              <w:spacing w:line="360" w:lineRule="auto"/>
              <w:ind w:left="0"/>
              <w:rPr>
                <w:rFonts w:ascii="Tahoma" w:hAnsi="Tahoma" w:cs="Tahoma"/>
                <w:lang w:val="en-US"/>
              </w:rPr>
            </w:pPr>
            <w:r w:rsidRPr="00C3288F">
              <w:rPr>
                <w:rFonts w:ascii="Tahoma" w:hAnsi="Tahoma" w:cs="Tahoma"/>
                <w:lang w:val="en-US"/>
              </w:rPr>
              <w:lastRenderedPageBreak/>
              <w:t>CSC</w:t>
            </w:r>
          </w:p>
        </w:tc>
        <w:tc>
          <w:tcPr>
            <w:tcW w:w="6083" w:type="dxa"/>
          </w:tcPr>
          <w:p w:rsidR="00C3288F" w:rsidRPr="00C3288F" w:rsidRDefault="00192AF7" w:rsidP="00C3288F">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ahoma" w:hAnsi="Tahoma" w:cs="Tahoma"/>
                <w:lang w:val="en-US"/>
              </w:rPr>
            </w:pPr>
            <w:r>
              <w:rPr>
                <w:rFonts w:ascii="Tahoma" w:hAnsi="Tahoma" w:cs="Tahoma"/>
                <w:lang w:val="en-US"/>
              </w:rPr>
              <w:t>A Conc</w:t>
            </w:r>
            <w:r w:rsidR="00C3288F" w:rsidRPr="00C3288F">
              <w:rPr>
                <w:rFonts w:ascii="Tahoma" w:hAnsi="Tahoma" w:cs="Tahoma"/>
                <w:lang w:val="en-US"/>
              </w:rPr>
              <w:t>essioning Agreement was signed between CSC and Bousted Beef Limited of United Kingdom.</w:t>
            </w:r>
          </w:p>
        </w:tc>
      </w:tr>
      <w:tr w:rsidR="00C3288F" w:rsidRPr="001305D5" w:rsidTr="00C3288F">
        <w:tc>
          <w:tcPr>
            <w:cnfStyle w:val="001000000000" w:firstRow="0" w:lastRow="0" w:firstColumn="1" w:lastColumn="0" w:oddVBand="0" w:evenVBand="0" w:oddHBand="0" w:evenHBand="0" w:firstRowFirstColumn="0" w:firstRowLastColumn="0" w:lastRowFirstColumn="0" w:lastRowLastColumn="0"/>
            <w:tcW w:w="2547" w:type="dxa"/>
          </w:tcPr>
          <w:p w:rsidR="00C3288F" w:rsidRPr="00C3288F" w:rsidRDefault="00C3288F" w:rsidP="00C3288F">
            <w:pPr>
              <w:pStyle w:val="ListParagraph"/>
              <w:spacing w:line="360" w:lineRule="auto"/>
              <w:ind w:left="0"/>
              <w:rPr>
                <w:rFonts w:ascii="Tahoma" w:hAnsi="Tahoma" w:cs="Tahoma"/>
                <w:lang w:val="en-US"/>
              </w:rPr>
            </w:pPr>
            <w:r w:rsidRPr="00C3288F">
              <w:rPr>
                <w:rFonts w:ascii="Tahoma" w:hAnsi="Tahoma" w:cs="Tahoma"/>
                <w:lang w:val="en-US"/>
              </w:rPr>
              <w:t>CAAZ</w:t>
            </w:r>
          </w:p>
        </w:tc>
        <w:tc>
          <w:tcPr>
            <w:tcW w:w="6083" w:type="dxa"/>
          </w:tcPr>
          <w:p w:rsidR="00C3288F" w:rsidRPr="00C3288F" w:rsidRDefault="00C3288F" w:rsidP="00C3288F">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ahoma" w:hAnsi="Tahoma" w:cs="Tahoma"/>
                <w:lang w:val="en-US"/>
              </w:rPr>
            </w:pPr>
            <w:r w:rsidRPr="00C3288F">
              <w:rPr>
                <w:rFonts w:ascii="Tahoma" w:hAnsi="Tahoma" w:cs="Tahoma"/>
                <w:lang w:val="en-US"/>
              </w:rPr>
              <w:t xml:space="preserve">The </w:t>
            </w:r>
            <w:r w:rsidRPr="00C3288F">
              <w:rPr>
                <w:rFonts w:ascii="Tahoma" w:hAnsi="Tahoma" w:cs="Tahoma"/>
              </w:rPr>
              <w:t>Civil Aviation Amendment Act has now been enacted.</w:t>
            </w:r>
          </w:p>
        </w:tc>
      </w:tr>
      <w:tr w:rsidR="00C3288F" w:rsidRPr="001305D5" w:rsidTr="00C3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C3288F" w:rsidRPr="00C3288F" w:rsidRDefault="00C3288F" w:rsidP="00C3288F">
            <w:pPr>
              <w:pStyle w:val="ListParagraph"/>
              <w:spacing w:line="360" w:lineRule="auto"/>
              <w:ind w:left="0"/>
              <w:rPr>
                <w:rFonts w:ascii="Tahoma" w:hAnsi="Tahoma" w:cs="Tahoma"/>
                <w:lang w:val="en-US"/>
              </w:rPr>
            </w:pPr>
            <w:r w:rsidRPr="00C3288F">
              <w:rPr>
                <w:rFonts w:ascii="Tahoma" w:hAnsi="Tahoma" w:cs="Tahoma"/>
                <w:lang w:val="en-US"/>
              </w:rPr>
              <w:t xml:space="preserve">IDC Subsidiaries </w:t>
            </w:r>
          </w:p>
        </w:tc>
        <w:tc>
          <w:tcPr>
            <w:tcW w:w="6083" w:type="dxa"/>
          </w:tcPr>
          <w:p w:rsidR="00C3288F" w:rsidRPr="00C3288F" w:rsidRDefault="00C3288F" w:rsidP="00C3288F">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ahoma" w:hAnsi="Tahoma" w:cs="Tahoma"/>
                <w:lang w:val="en-US"/>
              </w:rPr>
            </w:pPr>
            <w:r w:rsidRPr="00C3288F">
              <w:rPr>
                <w:rFonts w:ascii="Tahoma" w:hAnsi="Tahoma" w:cs="Tahoma"/>
              </w:rPr>
              <w:t>Resumption of the IDCZ Developmental financing Role, and immediate release of the $3om seed capital allocated in the 2019 budget. Privatisation of the identified subsidiaries underway and t</w:t>
            </w:r>
            <w:r w:rsidRPr="00C3288F">
              <w:rPr>
                <w:rFonts w:ascii="Tahoma" w:hAnsi="Tahoma" w:cs="Tahoma"/>
                <w:lang w:val="en-US"/>
              </w:rPr>
              <w:t>wo IDC subsidiaries have been liquidated.</w:t>
            </w:r>
          </w:p>
        </w:tc>
      </w:tr>
      <w:tr w:rsidR="00C3288F" w:rsidRPr="001305D5" w:rsidTr="00C3288F">
        <w:tc>
          <w:tcPr>
            <w:cnfStyle w:val="001000000000" w:firstRow="0" w:lastRow="0" w:firstColumn="1" w:lastColumn="0" w:oddVBand="0" w:evenVBand="0" w:oddHBand="0" w:evenHBand="0" w:firstRowFirstColumn="0" w:firstRowLastColumn="0" w:lastRowFirstColumn="0" w:lastRowLastColumn="0"/>
            <w:tcW w:w="2547" w:type="dxa"/>
          </w:tcPr>
          <w:p w:rsidR="00C3288F" w:rsidRPr="00C3288F" w:rsidRDefault="00C3288F" w:rsidP="00C3288F">
            <w:pPr>
              <w:pStyle w:val="ListParagraph"/>
              <w:spacing w:line="360" w:lineRule="auto"/>
              <w:ind w:left="0"/>
              <w:rPr>
                <w:rFonts w:ascii="Tahoma" w:hAnsi="Tahoma" w:cs="Tahoma"/>
                <w:lang w:val="en-US"/>
              </w:rPr>
            </w:pPr>
            <w:r w:rsidRPr="00C3288F">
              <w:rPr>
                <w:rFonts w:ascii="Tahoma" w:hAnsi="Tahoma" w:cs="Tahoma"/>
                <w:lang w:val="en-US"/>
              </w:rPr>
              <w:t>ZESA</w:t>
            </w:r>
          </w:p>
        </w:tc>
        <w:tc>
          <w:tcPr>
            <w:tcW w:w="6083" w:type="dxa"/>
          </w:tcPr>
          <w:p w:rsidR="00C3288F" w:rsidRPr="00C3288F" w:rsidRDefault="00C3288F" w:rsidP="00C3288F">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ahoma" w:hAnsi="Tahoma" w:cs="Tahoma"/>
                <w:lang w:val="en-US"/>
              </w:rPr>
            </w:pPr>
            <w:r w:rsidRPr="00C3288F">
              <w:rPr>
                <w:rFonts w:ascii="Tahoma" w:hAnsi="Tahoma" w:cs="Tahoma"/>
                <w:lang w:val="en-US"/>
              </w:rPr>
              <w:t>Cabinet has approved the Re-bundling of all the ZESA subsidiaries into a vertically integrated single Board. Technical Committee is working on the implementation.</w:t>
            </w:r>
          </w:p>
        </w:tc>
      </w:tr>
      <w:tr w:rsidR="00C3288F" w:rsidRPr="001305D5" w:rsidTr="00C3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C3288F" w:rsidRPr="00C3288F" w:rsidRDefault="00C3288F" w:rsidP="00C3288F">
            <w:pPr>
              <w:pStyle w:val="ListParagraph"/>
              <w:spacing w:line="360" w:lineRule="auto"/>
              <w:ind w:left="0"/>
              <w:rPr>
                <w:rFonts w:ascii="Tahoma" w:hAnsi="Tahoma" w:cs="Tahoma"/>
                <w:lang w:val="en-US"/>
              </w:rPr>
            </w:pPr>
            <w:r w:rsidRPr="00C3288F">
              <w:rPr>
                <w:rFonts w:ascii="Tahoma" w:hAnsi="Tahoma" w:cs="Tahoma"/>
                <w:lang w:val="en-US"/>
              </w:rPr>
              <w:t>ZIDA</w:t>
            </w:r>
          </w:p>
        </w:tc>
        <w:tc>
          <w:tcPr>
            <w:tcW w:w="6083" w:type="dxa"/>
          </w:tcPr>
          <w:p w:rsidR="00C3288F" w:rsidRPr="00C3288F" w:rsidRDefault="00C3288F" w:rsidP="00C3288F">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ahoma" w:hAnsi="Tahoma" w:cs="Tahoma"/>
                <w:lang w:val="en-US"/>
              </w:rPr>
            </w:pPr>
            <w:r w:rsidRPr="00C3288F">
              <w:rPr>
                <w:rFonts w:ascii="Tahoma" w:hAnsi="Tahoma" w:cs="Tahoma"/>
                <w:lang w:val="en-US"/>
              </w:rPr>
              <w:t>The One Stop Investment Services Center is operational as an interim arrangement. The ZIDA Bill is being considered by Parliament.</w:t>
            </w:r>
          </w:p>
        </w:tc>
      </w:tr>
      <w:tr w:rsidR="00C3288F" w:rsidRPr="001305D5" w:rsidTr="00C3288F">
        <w:tc>
          <w:tcPr>
            <w:cnfStyle w:val="001000000000" w:firstRow="0" w:lastRow="0" w:firstColumn="1" w:lastColumn="0" w:oddVBand="0" w:evenVBand="0" w:oddHBand="0" w:evenHBand="0" w:firstRowFirstColumn="0" w:firstRowLastColumn="0" w:lastRowFirstColumn="0" w:lastRowLastColumn="0"/>
            <w:tcW w:w="2547" w:type="dxa"/>
          </w:tcPr>
          <w:p w:rsidR="00C3288F" w:rsidRPr="00C3288F" w:rsidRDefault="00C3288F" w:rsidP="00C3288F">
            <w:pPr>
              <w:pStyle w:val="ListParagraph"/>
              <w:spacing w:line="360" w:lineRule="auto"/>
              <w:ind w:left="0"/>
              <w:rPr>
                <w:rFonts w:ascii="Tahoma" w:hAnsi="Tahoma" w:cs="Tahoma"/>
                <w:lang w:val="en-US"/>
              </w:rPr>
            </w:pPr>
            <w:r w:rsidRPr="00C3288F">
              <w:rPr>
                <w:rFonts w:ascii="Tahoma" w:hAnsi="Tahoma" w:cs="Tahoma"/>
                <w:lang w:val="en-US"/>
              </w:rPr>
              <w:t>Tel-One &amp; Net-One</w:t>
            </w:r>
          </w:p>
        </w:tc>
        <w:tc>
          <w:tcPr>
            <w:tcW w:w="6083" w:type="dxa"/>
          </w:tcPr>
          <w:p w:rsidR="00C3288F" w:rsidRPr="00C3288F" w:rsidRDefault="00C3288F" w:rsidP="00C3288F">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ahoma" w:hAnsi="Tahoma" w:cs="Tahoma"/>
                <w:lang w:val="en-US"/>
              </w:rPr>
            </w:pPr>
            <w:r w:rsidRPr="00C3288F">
              <w:rPr>
                <w:rFonts w:ascii="Tahoma" w:hAnsi="Tahoma" w:cs="Tahoma"/>
                <w:lang w:val="en-US"/>
              </w:rPr>
              <w:t>To be privatised as a single package. The Technical Committees for Tel One and Net One have therefore been combined to ensure the privatisation of the two entities is undertaken as a single package as approved.</w:t>
            </w:r>
          </w:p>
        </w:tc>
      </w:tr>
      <w:tr w:rsidR="00C3288F" w:rsidRPr="001305D5" w:rsidTr="00C3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C3288F" w:rsidRPr="00C3288F" w:rsidRDefault="00C3288F" w:rsidP="00C3288F">
            <w:pPr>
              <w:pStyle w:val="ListParagraph"/>
              <w:spacing w:line="360" w:lineRule="auto"/>
              <w:ind w:left="0"/>
              <w:rPr>
                <w:rFonts w:ascii="Tahoma" w:hAnsi="Tahoma" w:cs="Tahoma"/>
                <w:lang w:val="en-US"/>
              </w:rPr>
            </w:pPr>
            <w:r w:rsidRPr="00C3288F">
              <w:rPr>
                <w:rFonts w:ascii="Tahoma" w:hAnsi="Tahoma" w:cs="Tahoma"/>
                <w:lang w:val="en-US"/>
              </w:rPr>
              <w:t>Allied Timbers</w:t>
            </w:r>
          </w:p>
        </w:tc>
        <w:tc>
          <w:tcPr>
            <w:tcW w:w="6083" w:type="dxa"/>
          </w:tcPr>
          <w:p w:rsidR="00C3288F" w:rsidRPr="00C3288F" w:rsidRDefault="00C3288F" w:rsidP="00C3288F">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ahoma" w:hAnsi="Tahoma" w:cs="Tahoma"/>
                <w:lang w:val="en-US"/>
              </w:rPr>
            </w:pPr>
            <w:r w:rsidRPr="00C3288F">
              <w:rPr>
                <w:rFonts w:ascii="Tahoma" w:hAnsi="Tahoma" w:cs="Tahoma"/>
                <w:lang w:val="en-US"/>
              </w:rPr>
              <w:t>Partial privatisation roadmap approved by Cabinet on 19 February 2019.</w:t>
            </w:r>
          </w:p>
        </w:tc>
      </w:tr>
      <w:tr w:rsidR="00C3288F" w:rsidRPr="001305D5" w:rsidTr="00C3288F">
        <w:tc>
          <w:tcPr>
            <w:cnfStyle w:val="001000000000" w:firstRow="0" w:lastRow="0" w:firstColumn="1" w:lastColumn="0" w:oddVBand="0" w:evenVBand="0" w:oddHBand="0" w:evenHBand="0" w:firstRowFirstColumn="0" w:firstRowLastColumn="0" w:lastRowFirstColumn="0" w:lastRowLastColumn="0"/>
            <w:tcW w:w="2547" w:type="dxa"/>
          </w:tcPr>
          <w:p w:rsidR="00C3288F" w:rsidRPr="00C3288F" w:rsidRDefault="00C3288F" w:rsidP="00C3288F">
            <w:pPr>
              <w:pStyle w:val="ListParagraph"/>
              <w:spacing w:line="360" w:lineRule="auto"/>
              <w:ind w:left="0"/>
              <w:rPr>
                <w:rFonts w:ascii="Tahoma" w:hAnsi="Tahoma" w:cs="Tahoma"/>
                <w:lang w:val="en-US"/>
              </w:rPr>
            </w:pPr>
            <w:r w:rsidRPr="00C3288F">
              <w:rPr>
                <w:rFonts w:ascii="Tahoma" w:hAnsi="Tahoma" w:cs="Tahoma"/>
                <w:lang w:val="en-US"/>
              </w:rPr>
              <w:t>ZMDC Subsidiaries</w:t>
            </w:r>
          </w:p>
        </w:tc>
        <w:tc>
          <w:tcPr>
            <w:tcW w:w="6083" w:type="dxa"/>
          </w:tcPr>
          <w:p w:rsidR="00C3288F" w:rsidRPr="00C3288F" w:rsidRDefault="00C3288F" w:rsidP="00C3288F">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ahoma" w:hAnsi="Tahoma" w:cs="Tahoma"/>
                <w:lang w:val="en-US"/>
              </w:rPr>
            </w:pPr>
            <w:r w:rsidRPr="00C3288F">
              <w:rPr>
                <w:rFonts w:ascii="Tahoma" w:hAnsi="Tahoma" w:cs="Tahoma"/>
                <w:lang w:val="en-US"/>
              </w:rPr>
              <w:t>Partial privatisation is underway, with the initial tender for 6 subsidiaries that had been undertaken in 2018 cancelled</w:t>
            </w:r>
          </w:p>
        </w:tc>
      </w:tr>
      <w:tr w:rsidR="00C3288F" w:rsidRPr="001305D5" w:rsidTr="00C3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C3288F" w:rsidRPr="00C3288F" w:rsidRDefault="00C3288F" w:rsidP="00C3288F">
            <w:pPr>
              <w:pStyle w:val="ListParagraph"/>
              <w:spacing w:line="360" w:lineRule="auto"/>
              <w:ind w:left="0"/>
              <w:rPr>
                <w:rFonts w:ascii="Tahoma" w:hAnsi="Tahoma" w:cs="Tahoma"/>
                <w:lang w:val="en-US"/>
              </w:rPr>
            </w:pPr>
            <w:r w:rsidRPr="00C3288F">
              <w:rPr>
                <w:rFonts w:ascii="Tahoma" w:hAnsi="Tahoma" w:cs="Tahoma"/>
                <w:lang w:val="en-US"/>
              </w:rPr>
              <w:t>Agribank</w:t>
            </w:r>
          </w:p>
        </w:tc>
        <w:tc>
          <w:tcPr>
            <w:tcW w:w="6083" w:type="dxa"/>
          </w:tcPr>
          <w:p w:rsidR="00C3288F" w:rsidRPr="00C3288F" w:rsidRDefault="00C3288F" w:rsidP="00C3288F">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ahoma" w:hAnsi="Tahoma" w:cs="Tahoma"/>
                <w:lang w:val="en-US"/>
              </w:rPr>
            </w:pPr>
            <w:r w:rsidRPr="00C3288F">
              <w:rPr>
                <w:rFonts w:ascii="Tahoma" w:hAnsi="Tahoma" w:cs="Tahoma"/>
                <w:lang w:val="en-US"/>
              </w:rPr>
              <w:t>Process to appoint advisors for the following SEPs is under way</w:t>
            </w:r>
          </w:p>
        </w:tc>
      </w:tr>
      <w:tr w:rsidR="00C3288F" w:rsidRPr="001305D5" w:rsidTr="00C3288F">
        <w:tc>
          <w:tcPr>
            <w:cnfStyle w:val="001000000000" w:firstRow="0" w:lastRow="0" w:firstColumn="1" w:lastColumn="0" w:oddVBand="0" w:evenVBand="0" w:oddHBand="0" w:evenHBand="0" w:firstRowFirstColumn="0" w:firstRowLastColumn="0" w:lastRowFirstColumn="0" w:lastRowLastColumn="0"/>
            <w:tcW w:w="2547" w:type="dxa"/>
          </w:tcPr>
          <w:p w:rsidR="00C3288F" w:rsidRPr="00C3288F" w:rsidRDefault="00C3288F" w:rsidP="00C3288F">
            <w:pPr>
              <w:pStyle w:val="ListParagraph"/>
              <w:spacing w:line="360" w:lineRule="auto"/>
              <w:ind w:left="0"/>
              <w:rPr>
                <w:rFonts w:ascii="Tahoma" w:hAnsi="Tahoma" w:cs="Tahoma"/>
                <w:lang w:val="en-US"/>
              </w:rPr>
            </w:pPr>
            <w:r w:rsidRPr="00C3288F">
              <w:rPr>
                <w:rFonts w:ascii="Tahoma" w:hAnsi="Tahoma" w:cs="Tahoma"/>
                <w:lang w:val="en-US"/>
              </w:rPr>
              <w:t>Petrotrade</w:t>
            </w:r>
          </w:p>
        </w:tc>
        <w:tc>
          <w:tcPr>
            <w:tcW w:w="6083" w:type="dxa"/>
          </w:tcPr>
          <w:p w:rsidR="00C3288F" w:rsidRPr="00C3288F" w:rsidRDefault="00C3288F" w:rsidP="00C3288F">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rPr>
                <w:rFonts w:ascii="Tahoma" w:hAnsi="Tahoma" w:cs="Tahoma"/>
                <w:lang w:val="en-US"/>
              </w:rPr>
            </w:pPr>
            <w:r w:rsidRPr="00C3288F">
              <w:rPr>
                <w:rFonts w:ascii="Tahoma" w:hAnsi="Tahoma" w:cs="Tahoma"/>
                <w:lang w:val="en-US"/>
              </w:rPr>
              <w:t>Process to appoint advisors for the following SEPs is under way</w:t>
            </w:r>
          </w:p>
        </w:tc>
      </w:tr>
      <w:tr w:rsidR="00C3288F" w:rsidRPr="001305D5" w:rsidTr="00C3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C3288F" w:rsidRPr="00C3288F" w:rsidRDefault="00C3288F" w:rsidP="00C3288F">
            <w:pPr>
              <w:pStyle w:val="ListParagraph"/>
              <w:spacing w:line="360" w:lineRule="auto"/>
              <w:ind w:left="0"/>
              <w:rPr>
                <w:rFonts w:ascii="Tahoma" w:hAnsi="Tahoma" w:cs="Tahoma"/>
                <w:lang w:val="en-US"/>
              </w:rPr>
            </w:pPr>
            <w:r w:rsidRPr="00C3288F">
              <w:rPr>
                <w:rFonts w:ascii="Tahoma" w:hAnsi="Tahoma" w:cs="Tahoma"/>
                <w:lang w:val="en-US"/>
              </w:rPr>
              <w:t>ZIMPOST</w:t>
            </w:r>
          </w:p>
        </w:tc>
        <w:tc>
          <w:tcPr>
            <w:tcW w:w="6083" w:type="dxa"/>
          </w:tcPr>
          <w:p w:rsidR="00C3288F" w:rsidRPr="00C3288F" w:rsidRDefault="00C3288F" w:rsidP="00C3288F">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rPr>
                <w:rFonts w:ascii="Tahoma" w:hAnsi="Tahoma" w:cs="Tahoma"/>
                <w:lang w:val="en-US"/>
              </w:rPr>
            </w:pPr>
            <w:r w:rsidRPr="00C3288F">
              <w:rPr>
                <w:rFonts w:ascii="Tahoma" w:hAnsi="Tahoma" w:cs="Tahoma"/>
                <w:lang w:val="en-US"/>
              </w:rPr>
              <w:t>Process to appoint advisors for the following SEPs is under way</w:t>
            </w:r>
          </w:p>
        </w:tc>
      </w:tr>
      <w:tr w:rsidR="00C3288F" w:rsidRPr="001305D5" w:rsidTr="00C3288F">
        <w:tc>
          <w:tcPr>
            <w:cnfStyle w:val="001000000000" w:firstRow="0" w:lastRow="0" w:firstColumn="1" w:lastColumn="0" w:oddVBand="0" w:evenVBand="0" w:oddHBand="0" w:evenHBand="0" w:firstRowFirstColumn="0" w:firstRowLastColumn="0" w:lastRowFirstColumn="0" w:lastRowLastColumn="0"/>
            <w:tcW w:w="2547" w:type="dxa"/>
          </w:tcPr>
          <w:p w:rsidR="00C3288F" w:rsidRPr="00C3288F" w:rsidRDefault="00C3288F" w:rsidP="00C3288F">
            <w:pPr>
              <w:pStyle w:val="ListParagraph"/>
              <w:spacing w:line="360" w:lineRule="auto"/>
              <w:ind w:left="0"/>
              <w:rPr>
                <w:rFonts w:ascii="Tahoma" w:hAnsi="Tahoma" w:cs="Tahoma"/>
                <w:lang w:val="en-US"/>
              </w:rPr>
            </w:pPr>
            <w:r w:rsidRPr="00C3288F">
              <w:rPr>
                <w:rFonts w:ascii="Tahoma" w:hAnsi="Tahoma" w:cs="Tahoma"/>
              </w:rPr>
              <w:t>National Indigenization and Economic Empowerment Board</w:t>
            </w:r>
          </w:p>
        </w:tc>
        <w:tc>
          <w:tcPr>
            <w:tcW w:w="6083" w:type="dxa"/>
          </w:tcPr>
          <w:p w:rsidR="00C3288F" w:rsidRPr="00C3288F" w:rsidRDefault="00C3288F" w:rsidP="00C3288F">
            <w:pPr>
              <w:spacing w:after="20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C3288F">
              <w:rPr>
                <w:rFonts w:ascii="Tahoma" w:hAnsi="Tahoma" w:cs="Tahoma"/>
              </w:rPr>
              <w:t>Has been integrated into a department in the Ministry of Industry, Commerce and Enterprise Development.</w:t>
            </w:r>
          </w:p>
        </w:tc>
      </w:tr>
      <w:tr w:rsidR="00C3288F" w:rsidRPr="001305D5" w:rsidTr="00C3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C3288F" w:rsidRPr="00C3288F" w:rsidRDefault="00C3288F" w:rsidP="00C3288F">
            <w:pPr>
              <w:pStyle w:val="ListParagraph"/>
              <w:spacing w:line="360" w:lineRule="auto"/>
              <w:ind w:left="0"/>
              <w:rPr>
                <w:rFonts w:ascii="Tahoma" w:hAnsi="Tahoma" w:cs="Tahoma"/>
                <w:lang w:val="en-US"/>
              </w:rPr>
            </w:pPr>
            <w:r w:rsidRPr="00C3288F">
              <w:rPr>
                <w:rFonts w:ascii="Tahoma" w:hAnsi="Tahoma" w:cs="Tahoma"/>
              </w:rPr>
              <w:t>Board of Censors</w:t>
            </w:r>
          </w:p>
        </w:tc>
        <w:tc>
          <w:tcPr>
            <w:tcW w:w="6083" w:type="dxa"/>
          </w:tcPr>
          <w:p w:rsidR="00C3288F" w:rsidRPr="00C3288F" w:rsidRDefault="00C3288F" w:rsidP="00C3288F">
            <w:pPr>
              <w:spacing w:after="20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C3288F">
              <w:rPr>
                <w:rFonts w:ascii="Tahoma" w:hAnsi="Tahoma" w:cs="Tahoma"/>
              </w:rPr>
              <w:t>Has been departmentalized in the Ministry of Home Affairs and Cultural Heritage.</w:t>
            </w:r>
          </w:p>
        </w:tc>
      </w:tr>
      <w:tr w:rsidR="00C3288F" w:rsidRPr="001305D5" w:rsidTr="00C3288F">
        <w:tc>
          <w:tcPr>
            <w:cnfStyle w:val="001000000000" w:firstRow="0" w:lastRow="0" w:firstColumn="1" w:lastColumn="0" w:oddVBand="0" w:evenVBand="0" w:oddHBand="0" w:evenHBand="0" w:firstRowFirstColumn="0" w:firstRowLastColumn="0" w:lastRowFirstColumn="0" w:lastRowLastColumn="0"/>
            <w:tcW w:w="2547" w:type="dxa"/>
          </w:tcPr>
          <w:p w:rsidR="00C3288F" w:rsidRPr="00C3288F" w:rsidRDefault="00C3288F" w:rsidP="00C3288F">
            <w:pPr>
              <w:pStyle w:val="ListParagraph"/>
              <w:spacing w:line="360" w:lineRule="auto"/>
              <w:ind w:left="0"/>
              <w:rPr>
                <w:rFonts w:ascii="Tahoma" w:hAnsi="Tahoma" w:cs="Tahoma"/>
              </w:rPr>
            </w:pPr>
            <w:r w:rsidRPr="00C3288F">
              <w:rPr>
                <w:rFonts w:ascii="Tahoma" w:hAnsi="Tahoma" w:cs="Tahoma"/>
              </w:rPr>
              <w:lastRenderedPageBreak/>
              <w:t>National Library and Documentation services</w:t>
            </w:r>
          </w:p>
        </w:tc>
        <w:tc>
          <w:tcPr>
            <w:tcW w:w="6083" w:type="dxa"/>
          </w:tcPr>
          <w:p w:rsidR="00C3288F" w:rsidRPr="00C3288F" w:rsidRDefault="00C3288F" w:rsidP="00C3288F">
            <w:pPr>
              <w:spacing w:after="20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r w:rsidRPr="00C3288F">
              <w:rPr>
                <w:rFonts w:ascii="Tahoma" w:hAnsi="Tahoma" w:cs="Tahoma"/>
              </w:rPr>
              <w:t>Has been departmentalized under the Ministry of Primary and Secondary Education.</w:t>
            </w:r>
          </w:p>
        </w:tc>
      </w:tr>
      <w:tr w:rsidR="00C3288F" w:rsidRPr="001305D5" w:rsidTr="00C328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rsidR="00C3288F" w:rsidRPr="00C3288F" w:rsidRDefault="00C3288F" w:rsidP="00C3288F">
            <w:pPr>
              <w:pStyle w:val="ListParagraph"/>
              <w:spacing w:line="360" w:lineRule="auto"/>
              <w:ind w:left="0"/>
              <w:rPr>
                <w:rFonts w:ascii="Tahoma" w:hAnsi="Tahoma" w:cs="Tahoma"/>
              </w:rPr>
            </w:pPr>
            <w:r w:rsidRPr="00C3288F">
              <w:rPr>
                <w:rFonts w:ascii="Tahoma" w:hAnsi="Tahoma" w:cs="Tahoma"/>
              </w:rPr>
              <w:t>National liquor licensing Authority</w:t>
            </w:r>
          </w:p>
        </w:tc>
        <w:tc>
          <w:tcPr>
            <w:tcW w:w="6083" w:type="dxa"/>
          </w:tcPr>
          <w:p w:rsidR="00C3288F" w:rsidRPr="00C3288F" w:rsidRDefault="00C3288F" w:rsidP="00C3288F">
            <w:pPr>
              <w:spacing w:after="20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C3288F">
              <w:rPr>
                <w:rFonts w:ascii="Tahoma" w:hAnsi="Tahoma" w:cs="Tahoma"/>
              </w:rPr>
              <w:t>Has been departmentalized under the Ministry of Local Government, Public Works and National Housing.</w:t>
            </w:r>
          </w:p>
        </w:tc>
      </w:tr>
    </w:tbl>
    <w:p w:rsidR="00E33372" w:rsidRPr="00E33372" w:rsidRDefault="00E33372" w:rsidP="00AE659E">
      <w:pPr>
        <w:spacing w:after="0" w:line="240" w:lineRule="auto"/>
        <w:jc w:val="both"/>
        <w:rPr>
          <w:rFonts w:ascii="Tahoma" w:hAnsi="Tahoma" w:cs="Tahoma"/>
          <w:sz w:val="24"/>
          <w:szCs w:val="24"/>
          <w:highlight w:val="yellow"/>
        </w:rPr>
      </w:pPr>
    </w:p>
    <w:p w:rsidR="00E33372" w:rsidRPr="006E1BBA" w:rsidRDefault="00E33372" w:rsidP="00E33372">
      <w:pPr>
        <w:spacing w:after="0" w:line="240" w:lineRule="auto"/>
        <w:ind w:firstLine="720"/>
        <w:jc w:val="both"/>
        <w:rPr>
          <w:rFonts w:ascii="Tahoma" w:hAnsi="Tahoma" w:cs="Tahoma"/>
          <w:b/>
          <w:i/>
          <w:sz w:val="24"/>
          <w:szCs w:val="24"/>
        </w:rPr>
      </w:pPr>
      <w:r w:rsidRPr="006E1BBA">
        <w:rPr>
          <w:rFonts w:ascii="Tahoma" w:hAnsi="Tahoma" w:cs="Tahoma"/>
          <w:b/>
          <w:i/>
          <w:sz w:val="24"/>
          <w:szCs w:val="24"/>
        </w:rPr>
        <w:t>Ease of Doing Business Reforms</w:t>
      </w:r>
    </w:p>
    <w:p w:rsidR="00145231" w:rsidRDefault="00145231" w:rsidP="00E33372">
      <w:pPr>
        <w:spacing w:after="0" w:line="240" w:lineRule="auto"/>
        <w:ind w:firstLine="720"/>
        <w:jc w:val="both"/>
        <w:rPr>
          <w:rFonts w:ascii="Tahoma" w:hAnsi="Tahoma" w:cs="Tahoma"/>
          <w:b/>
          <w:sz w:val="24"/>
          <w:szCs w:val="24"/>
        </w:rPr>
      </w:pPr>
    </w:p>
    <w:p w:rsidR="00145231" w:rsidRDefault="00145231" w:rsidP="00145231">
      <w:pPr>
        <w:pStyle w:val="ListParagraph"/>
        <w:numPr>
          <w:ilvl w:val="0"/>
          <w:numId w:val="1"/>
        </w:numPr>
        <w:spacing w:after="160" w:line="360" w:lineRule="auto"/>
        <w:ind w:left="567" w:hanging="567"/>
        <w:jc w:val="both"/>
        <w:rPr>
          <w:rFonts w:ascii="Tahoma" w:hAnsi="Tahoma" w:cs="Tahoma"/>
          <w:sz w:val="24"/>
          <w:szCs w:val="24"/>
        </w:rPr>
      </w:pPr>
      <w:r w:rsidRPr="00145231">
        <w:rPr>
          <w:rFonts w:ascii="Tahoma" w:hAnsi="Tahoma" w:cs="Tahoma"/>
          <w:sz w:val="24"/>
          <w:szCs w:val="24"/>
        </w:rPr>
        <w:t xml:space="preserve">Government, under the TSP </w:t>
      </w:r>
      <w:r>
        <w:rPr>
          <w:rFonts w:ascii="Tahoma" w:hAnsi="Tahoma" w:cs="Tahoma"/>
          <w:sz w:val="24"/>
          <w:szCs w:val="24"/>
        </w:rPr>
        <w:t>continue</w:t>
      </w:r>
      <w:r w:rsidR="00192AF7">
        <w:rPr>
          <w:rFonts w:ascii="Tahoma" w:hAnsi="Tahoma" w:cs="Tahoma"/>
          <w:sz w:val="24"/>
          <w:szCs w:val="24"/>
        </w:rPr>
        <w:t>s</w:t>
      </w:r>
      <w:r>
        <w:rPr>
          <w:rFonts w:ascii="Tahoma" w:hAnsi="Tahoma" w:cs="Tahoma"/>
          <w:sz w:val="24"/>
          <w:szCs w:val="24"/>
        </w:rPr>
        <w:t xml:space="preserve"> to pursue ease of doing business reforms </w:t>
      </w:r>
      <w:r w:rsidR="006E1BBA">
        <w:rPr>
          <w:rFonts w:ascii="Tahoma" w:hAnsi="Tahoma" w:cs="Tahoma"/>
          <w:sz w:val="24"/>
          <w:szCs w:val="24"/>
        </w:rPr>
        <w:t xml:space="preserve">as part of broad measures on </w:t>
      </w:r>
      <w:r>
        <w:rPr>
          <w:rFonts w:ascii="Tahoma" w:hAnsi="Tahoma" w:cs="Tahoma"/>
          <w:sz w:val="24"/>
          <w:szCs w:val="24"/>
        </w:rPr>
        <w:t xml:space="preserve">enhancing the country`s </w:t>
      </w:r>
      <w:r w:rsidR="006E1BBA">
        <w:rPr>
          <w:rFonts w:ascii="Tahoma" w:hAnsi="Tahoma" w:cs="Tahoma"/>
          <w:sz w:val="24"/>
          <w:szCs w:val="24"/>
        </w:rPr>
        <w:t xml:space="preserve">investment environment. The reforms target administrative and other legislative bottlenecks under various statutes. </w:t>
      </w:r>
    </w:p>
    <w:p w:rsidR="006E1BBA" w:rsidRDefault="006E1BBA" w:rsidP="006E1BBA">
      <w:pPr>
        <w:pStyle w:val="ListParagraph"/>
        <w:spacing w:after="160" w:line="360" w:lineRule="auto"/>
        <w:ind w:left="567"/>
        <w:jc w:val="both"/>
        <w:rPr>
          <w:rFonts w:ascii="Tahoma" w:hAnsi="Tahoma" w:cs="Tahoma"/>
          <w:sz w:val="24"/>
          <w:szCs w:val="24"/>
        </w:rPr>
      </w:pPr>
    </w:p>
    <w:p w:rsidR="006E1BBA" w:rsidRDefault="006E1BBA" w:rsidP="00145231">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Milestones have been recorded in the following areas:</w:t>
      </w:r>
    </w:p>
    <w:p w:rsidR="00E33372" w:rsidRDefault="00E33372" w:rsidP="00AE659E">
      <w:pPr>
        <w:spacing w:after="0" w:line="240" w:lineRule="auto"/>
        <w:jc w:val="both"/>
        <w:rPr>
          <w:rFonts w:ascii="Tahoma" w:hAnsi="Tahoma" w:cs="Tahoma"/>
          <w:sz w:val="24"/>
          <w:szCs w:val="24"/>
        </w:rPr>
      </w:pPr>
    </w:p>
    <w:tbl>
      <w:tblPr>
        <w:tblStyle w:val="GridTable4-Accent1"/>
        <w:tblW w:w="5000" w:type="pct"/>
        <w:tblLook w:val="04A0" w:firstRow="1" w:lastRow="0" w:firstColumn="1" w:lastColumn="0" w:noHBand="0" w:noVBand="1"/>
      </w:tblPr>
      <w:tblGrid>
        <w:gridCol w:w="1773"/>
        <w:gridCol w:w="2741"/>
        <w:gridCol w:w="4836"/>
      </w:tblGrid>
      <w:tr w:rsidR="000948C0" w:rsidTr="00C3288F">
        <w:trPr>
          <w:cnfStyle w:val="100000000000" w:firstRow="1" w:lastRow="0" w:firstColumn="0" w:lastColumn="0" w:oddVBand="0" w:evenVBand="0" w:oddHBand="0" w:evenHBand="0" w:firstRowFirstColumn="0" w:firstRowLastColumn="0" w:lastRowFirstColumn="0" w:lastRowLastColumn="0"/>
          <w:trHeight w:val="490"/>
          <w:tblHeader/>
        </w:trPr>
        <w:tc>
          <w:tcPr>
            <w:cnfStyle w:val="001000000000" w:firstRow="0" w:lastRow="0" w:firstColumn="1" w:lastColumn="0" w:oddVBand="0" w:evenVBand="0" w:oddHBand="0" w:evenHBand="0" w:firstRowFirstColumn="0" w:firstRowLastColumn="0" w:lastRowFirstColumn="0" w:lastRowLastColumn="0"/>
            <w:tcW w:w="948" w:type="pct"/>
            <w:hideMark/>
          </w:tcPr>
          <w:p w:rsidR="000948C0" w:rsidRDefault="000948C0" w:rsidP="00C3288F">
            <w:pPr>
              <w:pStyle w:val="Body"/>
              <w:spacing w:line="240" w:lineRule="auto"/>
              <w:jc w:val="center"/>
              <w:rPr>
                <w:rFonts w:ascii="Tahoma" w:hAnsi="Tahoma" w:cs="Tahoma"/>
                <w:color w:val="FFFFFF" w:themeColor="background1"/>
              </w:rPr>
            </w:pPr>
            <w:r>
              <w:rPr>
                <w:rFonts w:ascii="Tahoma" w:hAnsi="Tahoma" w:cs="Tahoma"/>
                <w:bCs w:val="0"/>
                <w:color w:val="FFFFFF" w:themeColor="background1"/>
              </w:rPr>
              <w:t>Reform</w:t>
            </w:r>
          </w:p>
        </w:tc>
        <w:tc>
          <w:tcPr>
            <w:tcW w:w="1466" w:type="pct"/>
            <w:hideMark/>
          </w:tcPr>
          <w:p w:rsidR="000948C0" w:rsidRDefault="000948C0" w:rsidP="00C3288F">
            <w:pPr>
              <w:pStyle w:val="Body"/>
              <w:spacing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FFFFFF" w:themeColor="background1"/>
              </w:rPr>
            </w:pPr>
            <w:r>
              <w:rPr>
                <w:rFonts w:ascii="Tahoma" w:hAnsi="Tahoma" w:cs="Tahoma"/>
                <w:bCs w:val="0"/>
                <w:color w:val="FFFFFF" w:themeColor="background1"/>
              </w:rPr>
              <w:t>Objective</w:t>
            </w:r>
          </w:p>
        </w:tc>
        <w:tc>
          <w:tcPr>
            <w:tcW w:w="2586" w:type="pct"/>
            <w:hideMark/>
          </w:tcPr>
          <w:p w:rsidR="000948C0" w:rsidRDefault="000948C0" w:rsidP="00C3288F">
            <w:pPr>
              <w:pStyle w:val="Body"/>
              <w:spacing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FFFFFF" w:themeColor="background1"/>
              </w:rPr>
            </w:pPr>
            <w:r>
              <w:rPr>
                <w:rFonts w:ascii="Tahoma" w:hAnsi="Tahoma" w:cs="Tahoma"/>
                <w:bCs w:val="0"/>
                <w:color w:val="FFFFFF" w:themeColor="background1"/>
              </w:rPr>
              <w:t>Progress to Date</w:t>
            </w:r>
          </w:p>
        </w:tc>
      </w:tr>
      <w:tr w:rsidR="000948C0" w:rsidTr="00C3288F">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94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Default="000948C0" w:rsidP="00C3288F">
            <w:pPr>
              <w:pStyle w:val="Body"/>
              <w:spacing w:line="240" w:lineRule="auto"/>
              <w:rPr>
                <w:rFonts w:ascii="Tahoma" w:hAnsi="Tahoma" w:cs="Tahoma"/>
              </w:rPr>
            </w:pPr>
            <w:r>
              <w:rPr>
                <w:rFonts w:ascii="Tahoma" w:hAnsi="Tahoma" w:cs="Tahoma"/>
              </w:rPr>
              <w:t>Ease of Doing Business</w:t>
            </w:r>
          </w:p>
          <w:p w:rsidR="001E7B75" w:rsidRDefault="001E7B75" w:rsidP="00C3288F">
            <w:pPr>
              <w:pStyle w:val="Body"/>
              <w:spacing w:line="240" w:lineRule="auto"/>
              <w:rPr>
                <w:rFonts w:ascii="Tahoma" w:hAnsi="Tahoma" w:cs="Tahoma"/>
              </w:rPr>
            </w:pPr>
          </w:p>
        </w:tc>
        <w:tc>
          <w:tcPr>
            <w:tcW w:w="146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0948C0" w:rsidRPr="006E1BBA" w:rsidRDefault="000948C0" w:rsidP="00C3288F">
            <w:pPr>
              <w:pStyle w:val="Body"/>
              <w:spacing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6E1BBA">
              <w:rPr>
                <w:rFonts w:ascii="Tahoma" w:hAnsi="Tahoma" w:cs="Tahoma"/>
              </w:rPr>
              <w:t>Removal of regulatory, transactional and administrative hurdles in doing business</w:t>
            </w:r>
          </w:p>
        </w:tc>
        <w:tc>
          <w:tcPr>
            <w:tcW w:w="2586"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0948C0" w:rsidRPr="006E1BBA" w:rsidRDefault="001E7B75" w:rsidP="00C3288F">
            <w:pPr>
              <w:pStyle w:val="Body"/>
              <w:spacing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A</w:t>
            </w:r>
            <w:r w:rsidR="000948C0" w:rsidRPr="006E1BBA">
              <w:rPr>
                <w:rFonts w:ascii="Tahoma" w:hAnsi="Tahoma" w:cs="Tahoma"/>
              </w:rPr>
              <w:t xml:space="preserve"> lot of administrative procedures, timelines and costs have been reviewed and streamlined to facilitate the Ease of Doing Business between 12 February and 29 April 2019. </w:t>
            </w:r>
          </w:p>
          <w:p w:rsidR="000948C0" w:rsidRPr="006E1BBA" w:rsidRDefault="000948C0" w:rsidP="00C3288F">
            <w:pPr>
              <w:pStyle w:val="Body"/>
              <w:spacing w:line="240"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r w:rsidRPr="006E1BBA">
              <w:rPr>
                <w:rFonts w:ascii="Tahoma" w:hAnsi="Tahoma" w:cs="Tahoma"/>
              </w:rPr>
              <w:t>These reforms are as follows:</w:t>
            </w:r>
          </w:p>
          <w:p w:rsidR="000948C0" w:rsidRPr="006E1BBA" w:rsidRDefault="000948C0" w:rsidP="000948C0">
            <w:pPr>
              <w:pStyle w:val="ListParagraph"/>
              <w:numPr>
                <w:ilvl w:val="0"/>
                <w:numId w:val="32"/>
              </w:numPr>
              <w:spacing w:after="160" w:line="256" w:lineRule="auto"/>
              <w:cnfStyle w:val="000000100000" w:firstRow="0" w:lastRow="0" w:firstColumn="0" w:lastColumn="0" w:oddVBand="0" w:evenVBand="0" w:oddHBand="1" w:evenHBand="0" w:firstRowFirstColumn="0" w:firstRowLastColumn="0" w:lastRowFirstColumn="0" w:lastRowLastColumn="0"/>
              <w:rPr>
                <w:rFonts w:ascii="Tahoma" w:hAnsi="Tahoma" w:cs="Tahoma"/>
                <w:bdr w:val="none" w:sz="0" w:space="0" w:color="auto" w:frame="1"/>
              </w:rPr>
            </w:pPr>
            <w:r w:rsidRPr="006E1BBA">
              <w:rPr>
                <w:rFonts w:ascii="Tahoma" w:hAnsi="Tahoma" w:cs="Tahoma"/>
                <w:bdr w:val="none" w:sz="0" w:space="0" w:color="auto" w:frame="1"/>
              </w:rPr>
              <w:t>Improving the overall quality and efficiency of the property registration system in Zimbabwe through improved quality of registering property, reducing number of procedures from 5 to 4 and improved land dispute resolution;</w:t>
            </w:r>
          </w:p>
          <w:p w:rsidR="000948C0" w:rsidRPr="006E1BBA" w:rsidRDefault="000948C0" w:rsidP="000948C0">
            <w:pPr>
              <w:pStyle w:val="ListParagraph"/>
              <w:numPr>
                <w:ilvl w:val="0"/>
                <w:numId w:val="32"/>
              </w:numPr>
              <w:spacing w:after="160" w:line="256" w:lineRule="auto"/>
              <w:cnfStyle w:val="000000100000" w:firstRow="0" w:lastRow="0" w:firstColumn="0" w:lastColumn="0" w:oddVBand="0" w:evenVBand="0" w:oddHBand="1" w:evenHBand="0" w:firstRowFirstColumn="0" w:firstRowLastColumn="0" w:lastRowFirstColumn="0" w:lastRowLastColumn="0"/>
              <w:rPr>
                <w:rFonts w:ascii="Tahoma" w:hAnsi="Tahoma" w:cs="Tahoma"/>
                <w:bdr w:val="none" w:sz="0" w:space="0" w:color="auto" w:frame="1"/>
              </w:rPr>
            </w:pPr>
            <w:r w:rsidRPr="006E1BBA">
              <w:rPr>
                <w:rFonts w:ascii="Tahoma" w:hAnsi="Tahoma" w:cs="Tahoma"/>
                <w:bdr w:val="none" w:sz="0" w:space="0" w:color="auto" w:frame="1"/>
              </w:rPr>
              <w:t>The establishment of a credit registry to facilitate the obtaining of credit has been completed.</w:t>
            </w:r>
          </w:p>
          <w:p w:rsidR="000948C0" w:rsidRPr="006E1BBA" w:rsidRDefault="000948C0" w:rsidP="000948C0">
            <w:pPr>
              <w:pStyle w:val="ListParagraph"/>
              <w:numPr>
                <w:ilvl w:val="0"/>
                <w:numId w:val="32"/>
              </w:numPr>
              <w:spacing w:after="160" w:line="256" w:lineRule="auto"/>
              <w:cnfStyle w:val="000000100000" w:firstRow="0" w:lastRow="0" w:firstColumn="0" w:lastColumn="0" w:oddVBand="0" w:evenVBand="0" w:oddHBand="1" w:evenHBand="0" w:firstRowFirstColumn="0" w:firstRowLastColumn="0" w:lastRowFirstColumn="0" w:lastRowLastColumn="0"/>
              <w:rPr>
                <w:rFonts w:ascii="Tahoma" w:hAnsi="Tahoma" w:cs="Tahoma"/>
                <w:bdr w:val="none" w:sz="0" w:space="0" w:color="auto" w:frame="1"/>
              </w:rPr>
            </w:pPr>
            <w:r w:rsidRPr="006E1BBA">
              <w:rPr>
                <w:rFonts w:ascii="Tahoma" w:hAnsi="Tahoma" w:cs="Tahoma"/>
                <w:bdr w:val="none" w:sz="0" w:space="0" w:color="auto" w:frame="1"/>
              </w:rPr>
              <w:t xml:space="preserve">Improving the enforcement of contracts through increasing the number of small claims courts from 2 to 10 and the establishment of commercial courts from 0 </w:t>
            </w:r>
            <w:r w:rsidRPr="006E1BBA">
              <w:rPr>
                <w:rFonts w:ascii="Tahoma" w:hAnsi="Tahoma" w:cs="Tahoma"/>
                <w:bdr w:val="none" w:sz="0" w:space="0" w:color="auto" w:frame="1"/>
              </w:rPr>
              <w:lastRenderedPageBreak/>
              <w:t xml:space="preserve">to 4.The operationalisation of the </w:t>
            </w:r>
            <w:r w:rsidR="006E1BBA" w:rsidRPr="006E1BBA">
              <w:rPr>
                <w:rFonts w:ascii="Tahoma" w:hAnsi="Tahoma" w:cs="Tahoma"/>
                <w:bdr w:val="none" w:sz="0" w:space="0" w:color="auto" w:frame="1"/>
              </w:rPr>
              <w:t>magistrates’</w:t>
            </w:r>
            <w:r w:rsidRPr="006E1BBA">
              <w:rPr>
                <w:rFonts w:ascii="Tahoma" w:hAnsi="Tahoma" w:cs="Tahoma"/>
                <w:bdr w:val="none" w:sz="0" w:space="0" w:color="auto" w:frame="1"/>
              </w:rPr>
              <w:t xml:space="preserve"> courts to be done after the validation and gazetting of the requisite Court rules.</w:t>
            </w:r>
          </w:p>
          <w:p w:rsidR="000948C0" w:rsidRPr="006E1BBA" w:rsidRDefault="006E1BBA" w:rsidP="000948C0">
            <w:pPr>
              <w:pStyle w:val="ListParagraph"/>
              <w:numPr>
                <w:ilvl w:val="0"/>
                <w:numId w:val="32"/>
              </w:numPr>
              <w:spacing w:after="160" w:line="256" w:lineRule="auto"/>
              <w:cnfStyle w:val="000000100000" w:firstRow="0" w:lastRow="0" w:firstColumn="0" w:lastColumn="0" w:oddVBand="0" w:evenVBand="0" w:oddHBand="1" w:evenHBand="0" w:firstRowFirstColumn="0" w:firstRowLastColumn="0" w:lastRowFirstColumn="0" w:lastRowLastColumn="0"/>
              <w:rPr>
                <w:rFonts w:ascii="Tahoma" w:hAnsi="Tahoma" w:cs="Tahoma"/>
                <w:bdr w:val="none" w:sz="0" w:space="0" w:color="auto" w:frame="1"/>
              </w:rPr>
            </w:pPr>
            <w:r>
              <w:rPr>
                <w:rFonts w:ascii="Tahoma" w:hAnsi="Tahoma" w:cs="Tahoma"/>
                <w:bdr w:val="none" w:sz="0" w:space="0" w:color="auto" w:frame="1"/>
              </w:rPr>
              <w:t>Improving Trading a</w:t>
            </w:r>
            <w:r w:rsidR="000948C0" w:rsidRPr="006E1BBA">
              <w:rPr>
                <w:rFonts w:ascii="Tahoma" w:hAnsi="Tahoma" w:cs="Tahoma"/>
                <w:bdr w:val="none" w:sz="0" w:space="0" w:color="auto" w:frame="1"/>
              </w:rPr>
              <w:t xml:space="preserve">cross Borders through reviewing of checkpoints for both imports and exports clearance processes at Beitbridge Border Post resulting in a 41% reduction in compliance checkpoints. </w:t>
            </w:r>
          </w:p>
        </w:tc>
      </w:tr>
    </w:tbl>
    <w:p w:rsidR="000948C0" w:rsidRDefault="000948C0" w:rsidP="000948C0"/>
    <w:p w:rsidR="000948C0" w:rsidRPr="001E7B75" w:rsidRDefault="001E7B75" w:rsidP="001E7B75">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Over and above administrative issues, there is also p</w:t>
      </w:r>
      <w:r w:rsidRPr="001E7B75">
        <w:rPr>
          <w:rFonts w:ascii="Tahoma" w:hAnsi="Tahoma" w:cs="Tahoma"/>
          <w:sz w:val="24"/>
          <w:szCs w:val="24"/>
        </w:rPr>
        <w:t>rogress on the legislative agenda is as follows:</w:t>
      </w:r>
    </w:p>
    <w:tbl>
      <w:tblPr>
        <w:tblStyle w:val="GridTable4-Accent1"/>
        <w:tblW w:w="4732" w:type="pct"/>
        <w:tblInd w:w="562" w:type="dxa"/>
        <w:tblLook w:val="04A0" w:firstRow="1" w:lastRow="0" w:firstColumn="1" w:lastColumn="0" w:noHBand="0" w:noVBand="1"/>
      </w:tblPr>
      <w:tblGrid>
        <w:gridCol w:w="1857"/>
        <w:gridCol w:w="2733"/>
        <w:gridCol w:w="2633"/>
        <w:gridCol w:w="1626"/>
      </w:tblGrid>
      <w:tr w:rsidR="001E7B75" w:rsidRPr="00E261E1" w:rsidTr="00E261E1">
        <w:trPr>
          <w:cnfStyle w:val="100000000000" w:firstRow="1" w:lastRow="0" w:firstColumn="0" w:lastColumn="0" w:oddVBand="0" w:evenVBand="0" w:oddHBand="0" w:evenHBand="0" w:firstRowFirstColumn="0" w:firstRowLastColumn="0" w:lastRowFirstColumn="0" w:lastRowLastColumn="0"/>
          <w:trHeight w:val="490"/>
          <w:tblHeader/>
        </w:trPr>
        <w:tc>
          <w:tcPr>
            <w:cnfStyle w:val="001000000000" w:firstRow="0" w:lastRow="0" w:firstColumn="1" w:lastColumn="0" w:oddVBand="0" w:evenVBand="0" w:oddHBand="0" w:evenHBand="0" w:firstRowFirstColumn="0" w:firstRowLastColumn="0" w:lastRowFirstColumn="0" w:lastRowLastColumn="0"/>
            <w:tcW w:w="1049" w:type="pct"/>
            <w:hideMark/>
          </w:tcPr>
          <w:p w:rsidR="001E7B75" w:rsidRPr="00E261E1" w:rsidRDefault="001E7B75" w:rsidP="00C3288F">
            <w:pPr>
              <w:pStyle w:val="Body"/>
              <w:spacing w:line="240" w:lineRule="auto"/>
              <w:jc w:val="center"/>
              <w:rPr>
                <w:rFonts w:ascii="Tahoma" w:hAnsi="Tahoma" w:cs="Tahoma"/>
                <w:color w:val="FFFFFF" w:themeColor="background1"/>
                <w:sz w:val="20"/>
                <w:szCs w:val="20"/>
              </w:rPr>
            </w:pPr>
            <w:r w:rsidRPr="00E261E1">
              <w:rPr>
                <w:rFonts w:ascii="Tahoma" w:hAnsi="Tahoma" w:cs="Tahoma"/>
                <w:bCs w:val="0"/>
                <w:color w:val="FFFFFF" w:themeColor="background1"/>
                <w:sz w:val="20"/>
                <w:szCs w:val="20"/>
              </w:rPr>
              <w:t>Reform</w:t>
            </w:r>
          </w:p>
        </w:tc>
        <w:tc>
          <w:tcPr>
            <w:tcW w:w="1544" w:type="pct"/>
            <w:hideMark/>
          </w:tcPr>
          <w:p w:rsidR="001E7B75" w:rsidRPr="00E261E1" w:rsidRDefault="001E7B75" w:rsidP="00C3288F">
            <w:pPr>
              <w:pStyle w:val="Body"/>
              <w:spacing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FFFFFF" w:themeColor="background1"/>
                <w:sz w:val="20"/>
                <w:szCs w:val="20"/>
              </w:rPr>
            </w:pPr>
            <w:r w:rsidRPr="00E261E1">
              <w:rPr>
                <w:rFonts w:ascii="Tahoma" w:hAnsi="Tahoma" w:cs="Tahoma"/>
                <w:bCs w:val="0"/>
                <w:color w:val="FFFFFF" w:themeColor="background1"/>
                <w:sz w:val="20"/>
                <w:szCs w:val="20"/>
              </w:rPr>
              <w:t>Objective</w:t>
            </w:r>
          </w:p>
        </w:tc>
        <w:tc>
          <w:tcPr>
            <w:tcW w:w="1488" w:type="pct"/>
            <w:hideMark/>
          </w:tcPr>
          <w:p w:rsidR="001E7B75" w:rsidRPr="00E261E1" w:rsidRDefault="001E7B75" w:rsidP="00C3288F">
            <w:pPr>
              <w:pStyle w:val="Body"/>
              <w:spacing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FFFFFF" w:themeColor="background1"/>
                <w:sz w:val="20"/>
                <w:szCs w:val="20"/>
              </w:rPr>
            </w:pPr>
            <w:r w:rsidRPr="00E261E1">
              <w:rPr>
                <w:rFonts w:ascii="Tahoma" w:hAnsi="Tahoma" w:cs="Tahoma"/>
                <w:bCs w:val="0"/>
                <w:color w:val="FFFFFF" w:themeColor="background1"/>
                <w:sz w:val="20"/>
                <w:szCs w:val="20"/>
              </w:rPr>
              <w:t>Progress to Date</w:t>
            </w:r>
          </w:p>
        </w:tc>
        <w:tc>
          <w:tcPr>
            <w:tcW w:w="919" w:type="pct"/>
            <w:hideMark/>
          </w:tcPr>
          <w:p w:rsidR="001E7B75" w:rsidRPr="00E261E1" w:rsidRDefault="001E7B75" w:rsidP="00C3288F">
            <w:pPr>
              <w:pStyle w:val="Body"/>
              <w:spacing w:line="24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FFFFFF" w:themeColor="background1"/>
                <w:sz w:val="20"/>
                <w:szCs w:val="20"/>
              </w:rPr>
            </w:pPr>
            <w:r w:rsidRPr="00E261E1">
              <w:rPr>
                <w:rFonts w:ascii="Tahoma" w:hAnsi="Tahoma" w:cs="Tahoma"/>
                <w:bCs w:val="0"/>
                <w:color w:val="FFFFFF" w:themeColor="background1"/>
                <w:sz w:val="20"/>
                <w:szCs w:val="20"/>
              </w:rPr>
              <w:t>Targeted Date of Completion</w:t>
            </w:r>
          </w:p>
        </w:tc>
      </w:tr>
      <w:tr w:rsidR="001E7B75" w:rsidRPr="00E261E1" w:rsidTr="00E261E1">
        <w:trPr>
          <w:cnfStyle w:val="000000100000" w:firstRow="0" w:lastRow="0" w:firstColumn="0" w:lastColumn="0" w:oddVBand="0" w:evenVBand="0" w:oddHBand="1" w:evenHBand="0" w:firstRowFirstColumn="0" w:firstRowLastColumn="0" w:lastRowFirstColumn="0" w:lastRowLastColumn="0"/>
          <w:trHeight w:val="1210"/>
        </w:trPr>
        <w:tc>
          <w:tcPr>
            <w:cnfStyle w:val="001000000000" w:firstRow="0" w:lastRow="0" w:firstColumn="1" w:lastColumn="0" w:oddVBand="0" w:evenVBand="0" w:oddHBand="0" w:evenHBand="0" w:firstRowFirstColumn="0" w:firstRowLastColumn="0" w:lastRowFirstColumn="0" w:lastRowLastColumn="0"/>
            <w:tcW w:w="104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C3288F">
            <w:pPr>
              <w:pStyle w:val="Body"/>
              <w:spacing w:line="240" w:lineRule="auto"/>
              <w:rPr>
                <w:rFonts w:ascii="Tahoma" w:hAnsi="Tahoma" w:cs="Tahoma"/>
                <w:sz w:val="20"/>
                <w:szCs w:val="20"/>
              </w:rPr>
            </w:pPr>
            <w:r w:rsidRPr="00E261E1">
              <w:rPr>
                <w:rFonts w:ascii="Tahoma" w:hAnsi="Tahoma" w:cs="Tahoma"/>
                <w:bCs w:val="0"/>
                <w:sz w:val="20"/>
                <w:szCs w:val="20"/>
              </w:rPr>
              <w:t>Insolvency Bill Estate Administrators Act</w:t>
            </w:r>
          </w:p>
        </w:tc>
        <w:tc>
          <w:tcPr>
            <w:tcW w:w="154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C3288F">
            <w:pPr>
              <w:pStyle w:val="Body"/>
              <w:spacing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261E1">
              <w:rPr>
                <w:rFonts w:ascii="Tahoma" w:hAnsi="Tahoma" w:cs="Tahoma"/>
                <w:sz w:val="20"/>
                <w:szCs w:val="20"/>
              </w:rPr>
              <w:t>To ensure accountability and efficiency insolvency proceedings that permit unsalvageable companies to be quickly liquidated and viable firms to be revived, thus preserving jobs</w:t>
            </w:r>
          </w:p>
        </w:tc>
        <w:tc>
          <w:tcPr>
            <w:tcW w:w="148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145231">
            <w:pPr>
              <w:pStyle w:val="ListParagraph"/>
              <w:numPr>
                <w:ilvl w:val="0"/>
                <w:numId w:val="34"/>
              </w:numPr>
              <w:spacing w:after="160" w:line="25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t>Passed last year by the 8</w:t>
            </w:r>
            <w:r w:rsidRPr="00E261E1">
              <w:rPr>
                <w:rFonts w:ascii="Tahoma" w:hAnsi="Tahoma" w:cs="Tahoma"/>
                <w:sz w:val="20"/>
                <w:szCs w:val="20"/>
                <w:bdr w:val="none" w:sz="0" w:space="0" w:color="auto" w:frame="1"/>
                <w:vertAlign w:val="superscript"/>
              </w:rPr>
              <w:t>th</w:t>
            </w:r>
            <w:r w:rsidRPr="00E261E1">
              <w:rPr>
                <w:rFonts w:ascii="Tahoma" w:hAnsi="Tahoma" w:cs="Tahoma"/>
                <w:sz w:val="20"/>
                <w:szCs w:val="20"/>
                <w:bdr w:val="none" w:sz="0" w:space="0" w:color="auto" w:frame="1"/>
              </w:rPr>
              <w:t xml:space="preserve"> Parliament </w:t>
            </w:r>
          </w:p>
        </w:tc>
        <w:tc>
          <w:tcPr>
            <w:tcW w:w="91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145231">
            <w:pPr>
              <w:pStyle w:val="ListParagraph"/>
              <w:numPr>
                <w:ilvl w:val="0"/>
                <w:numId w:val="34"/>
              </w:numPr>
              <w:spacing w:after="160" w:line="25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t>December 2018</w:t>
            </w:r>
          </w:p>
        </w:tc>
      </w:tr>
      <w:tr w:rsidR="001E7B75" w:rsidRPr="00E261E1" w:rsidTr="00E261E1">
        <w:trPr>
          <w:trHeight w:val="490"/>
        </w:trPr>
        <w:tc>
          <w:tcPr>
            <w:cnfStyle w:val="001000000000" w:firstRow="0" w:lastRow="0" w:firstColumn="1" w:lastColumn="0" w:oddVBand="0" w:evenVBand="0" w:oddHBand="0" w:evenHBand="0" w:firstRowFirstColumn="0" w:firstRowLastColumn="0" w:lastRowFirstColumn="0" w:lastRowLastColumn="0"/>
            <w:tcW w:w="104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C3288F">
            <w:pPr>
              <w:pStyle w:val="Body"/>
              <w:spacing w:line="240" w:lineRule="auto"/>
              <w:rPr>
                <w:rFonts w:ascii="Tahoma" w:hAnsi="Tahoma" w:cs="Tahoma"/>
                <w:sz w:val="20"/>
                <w:szCs w:val="20"/>
              </w:rPr>
            </w:pPr>
            <w:r w:rsidRPr="00E261E1">
              <w:rPr>
                <w:rFonts w:ascii="Tahoma" w:hAnsi="Tahoma" w:cs="Tahoma"/>
                <w:bCs w:val="0"/>
                <w:sz w:val="20"/>
                <w:szCs w:val="20"/>
              </w:rPr>
              <w:t>Shop Licensing Amendment Bill</w:t>
            </w:r>
          </w:p>
        </w:tc>
        <w:tc>
          <w:tcPr>
            <w:tcW w:w="154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C3288F">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261E1">
              <w:rPr>
                <w:rFonts w:ascii="Tahoma" w:hAnsi="Tahoma" w:cs="Tahoma"/>
                <w:sz w:val="20"/>
                <w:szCs w:val="20"/>
              </w:rPr>
              <w:t>To streamline and simplify licensing procedures and timelines</w:t>
            </w:r>
          </w:p>
        </w:tc>
        <w:tc>
          <w:tcPr>
            <w:tcW w:w="148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145231">
            <w:pPr>
              <w:pStyle w:val="ListParagraph"/>
              <w:numPr>
                <w:ilvl w:val="0"/>
                <w:numId w:val="34"/>
              </w:numPr>
              <w:spacing w:after="160" w:line="25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t>Passed in 2018</w:t>
            </w:r>
          </w:p>
        </w:tc>
        <w:tc>
          <w:tcPr>
            <w:tcW w:w="91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145231">
            <w:pPr>
              <w:pStyle w:val="ListParagraph"/>
              <w:numPr>
                <w:ilvl w:val="0"/>
                <w:numId w:val="34"/>
              </w:numPr>
              <w:spacing w:after="160" w:line="25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t xml:space="preserve">December 2018  </w:t>
            </w:r>
          </w:p>
        </w:tc>
      </w:tr>
      <w:tr w:rsidR="001E7B75" w:rsidRPr="00E261E1" w:rsidTr="00E261E1">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104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C3288F">
            <w:pPr>
              <w:pStyle w:val="Body"/>
              <w:spacing w:line="240" w:lineRule="auto"/>
              <w:rPr>
                <w:rFonts w:ascii="Tahoma" w:hAnsi="Tahoma" w:cs="Tahoma"/>
                <w:sz w:val="20"/>
                <w:szCs w:val="20"/>
              </w:rPr>
            </w:pPr>
            <w:r w:rsidRPr="00E261E1">
              <w:rPr>
                <w:rFonts w:ascii="Tahoma" w:hAnsi="Tahoma" w:cs="Tahoma"/>
                <w:bCs w:val="0"/>
                <w:sz w:val="20"/>
                <w:szCs w:val="20"/>
                <w:lang w:val="fr-FR"/>
              </w:rPr>
              <w:t>Public Finance Management</w:t>
            </w:r>
            <w:r w:rsidRPr="00E261E1">
              <w:rPr>
                <w:rFonts w:ascii="Tahoma" w:hAnsi="Tahoma" w:cs="Tahoma"/>
                <w:bCs w:val="0"/>
                <w:sz w:val="20"/>
                <w:szCs w:val="20"/>
              </w:rPr>
              <w:t xml:space="preserve"> (Amendment) Act</w:t>
            </w:r>
          </w:p>
        </w:tc>
        <w:tc>
          <w:tcPr>
            <w:tcW w:w="154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C3288F">
            <w:pPr>
              <w:pStyle w:val="Body"/>
              <w:spacing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261E1">
              <w:rPr>
                <w:rFonts w:ascii="Tahoma" w:hAnsi="Tahoma" w:cs="Tahoma"/>
                <w:sz w:val="20"/>
                <w:szCs w:val="20"/>
              </w:rPr>
              <w:t xml:space="preserve">To enhance transparency and accountability in the management of public resources </w:t>
            </w:r>
          </w:p>
        </w:tc>
        <w:tc>
          <w:tcPr>
            <w:tcW w:w="148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145231">
            <w:pPr>
              <w:pStyle w:val="ListParagraph"/>
              <w:numPr>
                <w:ilvl w:val="0"/>
                <w:numId w:val="34"/>
              </w:numPr>
              <w:spacing w:after="160" w:line="25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color w:val="000000"/>
                <w:sz w:val="20"/>
                <w:szCs w:val="20"/>
                <w:bdr w:val="none" w:sz="0" w:space="0" w:color="auto" w:frame="1"/>
              </w:rPr>
              <w:t>Passed in 2018</w:t>
            </w:r>
          </w:p>
        </w:tc>
        <w:tc>
          <w:tcPr>
            <w:tcW w:w="91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145231">
            <w:pPr>
              <w:pStyle w:val="ListParagraph"/>
              <w:numPr>
                <w:ilvl w:val="0"/>
                <w:numId w:val="34"/>
              </w:numPr>
              <w:spacing w:after="160" w:line="25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t>December 2018</w:t>
            </w:r>
          </w:p>
        </w:tc>
      </w:tr>
      <w:tr w:rsidR="001E7B75" w:rsidRPr="00E261E1" w:rsidTr="00E261E1">
        <w:trPr>
          <w:trHeight w:val="490"/>
        </w:trPr>
        <w:tc>
          <w:tcPr>
            <w:cnfStyle w:val="001000000000" w:firstRow="0" w:lastRow="0" w:firstColumn="1" w:lastColumn="0" w:oddVBand="0" w:evenVBand="0" w:oddHBand="0" w:evenHBand="0" w:firstRowFirstColumn="0" w:firstRowLastColumn="0" w:lastRowFirstColumn="0" w:lastRowLastColumn="0"/>
            <w:tcW w:w="104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C3288F">
            <w:pPr>
              <w:pStyle w:val="Body"/>
              <w:spacing w:line="240" w:lineRule="auto"/>
              <w:rPr>
                <w:rFonts w:ascii="Tahoma" w:hAnsi="Tahoma" w:cs="Tahoma"/>
                <w:sz w:val="20"/>
                <w:szCs w:val="20"/>
              </w:rPr>
            </w:pPr>
            <w:r w:rsidRPr="00E261E1">
              <w:rPr>
                <w:rFonts w:ascii="Tahoma" w:hAnsi="Tahoma" w:cs="Tahoma"/>
                <w:bCs w:val="0"/>
                <w:sz w:val="20"/>
                <w:szCs w:val="20"/>
                <w:lang w:val="fr-FR"/>
              </w:rPr>
              <w:t>ZIDA Bill</w:t>
            </w:r>
          </w:p>
        </w:tc>
        <w:tc>
          <w:tcPr>
            <w:tcW w:w="154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C3288F">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261E1">
              <w:rPr>
                <w:rFonts w:ascii="Tahoma" w:hAnsi="Tahoma" w:cs="Tahoma"/>
                <w:sz w:val="20"/>
                <w:szCs w:val="20"/>
              </w:rPr>
              <w:t xml:space="preserve">Amalgamate 3 investment agencies, ie ZIA, Joint Ventures Unit and Special Economic Zones Authority) to make sure that all investments are processed under one roof.  </w:t>
            </w:r>
          </w:p>
        </w:tc>
        <w:tc>
          <w:tcPr>
            <w:tcW w:w="148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145231">
            <w:pPr>
              <w:pStyle w:val="ListParagraph"/>
              <w:numPr>
                <w:ilvl w:val="0"/>
                <w:numId w:val="34"/>
              </w:numPr>
              <w:spacing w:after="160" w:line="25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bdr w:val="none" w:sz="0" w:space="0" w:color="auto" w:frame="1"/>
              </w:rPr>
            </w:pPr>
            <w:r w:rsidRPr="00E261E1">
              <w:rPr>
                <w:rFonts w:ascii="Tahoma" w:eastAsia="Times New Roman" w:hAnsi="Tahoma" w:cs="Tahoma"/>
                <w:color w:val="222222"/>
                <w:sz w:val="20"/>
                <w:szCs w:val="20"/>
                <w:bdr w:val="none" w:sz="0" w:space="0" w:color="auto" w:frame="1"/>
              </w:rPr>
              <w:t xml:space="preserve">ZIDA Bill tabled and gazetted before Parliament on 5 April </w:t>
            </w:r>
          </w:p>
        </w:tc>
        <w:tc>
          <w:tcPr>
            <w:tcW w:w="91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145231">
            <w:pPr>
              <w:pStyle w:val="ListParagraph"/>
              <w:numPr>
                <w:ilvl w:val="0"/>
                <w:numId w:val="34"/>
              </w:numPr>
              <w:spacing w:after="160" w:line="25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t>June 2019</w:t>
            </w:r>
          </w:p>
        </w:tc>
      </w:tr>
      <w:tr w:rsidR="001E7B75" w:rsidRPr="00E261E1" w:rsidTr="00E261E1">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104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C3288F">
            <w:pPr>
              <w:pStyle w:val="Body"/>
              <w:spacing w:line="240" w:lineRule="auto"/>
              <w:rPr>
                <w:rFonts w:ascii="Tahoma" w:hAnsi="Tahoma" w:cs="Tahoma"/>
                <w:sz w:val="20"/>
                <w:szCs w:val="20"/>
              </w:rPr>
            </w:pPr>
            <w:r w:rsidRPr="00E261E1">
              <w:rPr>
                <w:rFonts w:ascii="Tahoma" w:hAnsi="Tahoma" w:cs="Tahoma"/>
                <w:bCs w:val="0"/>
                <w:sz w:val="20"/>
                <w:szCs w:val="20"/>
              </w:rPr>
              <w:t>Census and Statistics Amendment Act</w:t>
            </w:r>
          </w:p>
        </w:tc>
        <w:tc>
          <w:tcPr>
            <w:tcW w:w="154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C3288F">
            <w:pPr>
              <w:pStyle w:val="Body"/>
              <w:spacing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261E1">
              <w:rPr>
                <w:rFonts w:ascii="Tahoma" w:hAnsi="Tahoma" w:cs="Tahoma"/>
                <w:sz w:val="20"/>
                <w:szCs w:val="20"/>
              </w:rPr>
              <w:t>To allow dissemination of micro data to data users</w:t>
            </w:r>
          </w:p>
        </w:tc>
        <w:tc>
          <w:tcPr>
            <w:tcW w:w="148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145231">
            <w:pPr>
              <w:pStyle w:val="ListParagraph"/>
              <w:numPr>
                <w:ilvl w:val="0"/>
                <w:numId w:val="34"/>
              </w:numPr>
              <w:spacing w:after="160" w:line="25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t>Promulgated into law</w:t>
            </w:r>
          </w:p>
        </w:tc>
        <w:tc>
          <w:tcPr>
            <w:tcW w:w="91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145231">
            <w:pPr>
              <w:pStyle w:val="ListParagraph"/>
              <w:numPr>
                <w:ilvl w:val="0"/>
                <w:numId w:val="34"/>
              </w:numPr>
              <w:spacing w:after="160" w:line="256"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t>December 2018</w:t>
            </w:r>
          </w:p>
        </w:tc>
      </w:tr>
      <w:tr w:rsidR="001E7B75" w:rsidRPr="00E261E1" w:rsidTr="00E261E1">
        <w:trPr>
          <w:trHeight w:val="490"/>
        </w:trPr>
        <w:tc>
          <w:tcPr>
            <w:cnfStyle w:val="001000000000" w:firstRow="0" w:lastRow="0" w:firstColumn="1" w:lastColumn="0" w:oddVBand="0" w:evenVBand="0" w:oddHBand="0" w:evenHBand="0" w:firstRowFirstColumn="0" w:firstRowLastColumn="0" w:lastRowFirstColumn="0" w:lastRowLastColumn="0"/>
            <w:tcW w:w="104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C3288F">
            <w:pPr>
              <w:pStyle w:val="Body"/>
              <w:spacing w:line="240" w:lineRule="auto"/>
              <w:rPr>
                <w:rFonts w:ascii="Tahoma" w:hAnsi="Tahoma" w:cs="Tahoma"/>
                <w:sz w:val="20"/>
                <w:szCs w:val="20"/>
              </w:rPr>
            </w:pPr>
            <w:r w:rsidRPr="00E261E1">
              <w:rPr>
                <w:rFonts w:ascii="Tahoma" w:hAnsi="Tahoma" w:cs="Tahoma"/>
                <w:bCs w:val="0"/>
                <w:sz w:val="20"/>
                <w:szCs w:val="20"/>
              </w:rPr>
              <w:t>General Laws Amendment Act</w:t>
            </w:r>
          </w:p>
        </w:tc>
        <w:tc>
          <w:tcPr>
            <w:tcW w:w="154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C3288F">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261E1">
              <w:rPr>
                <w:rFonts w:ascii="Tahoma" w:hAnsi="Tahoma" w:cs="Tahoma"/>
                <w:sz w:val="20"/>
                <w:szCs w:val="20"/>
              </w:rPr>
              <w:t>Amendment of outstanding laws</w:t>
            </w:r>
          </w:p>
        </w:tc>
        <w:tc>
          <w:tcPr>
            <w:tcW w:w="148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145231">
            <w:pPr>
              <w:pStyle w:val="ListParagraph"/>
              <w:numPr>
                <w:ilvl w:val="0"/>
                <w:numId w:val="34"/>
              </w:numPr>
              <w:spacing w:after="160" w:line="25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t xml:space="preserve">Gender equality provisions in state </w:t>
            </w:r>
            <w:r w:rsidRPr="00E261E1">
              <w:rPr>
                <w:rFonts w:ascii="Tahoma" w:hAnsi="Tahoma" w:cs="Tahoma"/>
                <w:sz w:val="20"/>
                <w:szCs w:val="20"/>
                <w:bdr w:val="none" w:sz="0" w:space="0" w:color="auto" w:frame="1"/>
              </w:rPr>
              <w:lastRenderedPageBreak/>
              <w:t xml:space="preserve">institutions yet to go before Parliament </w:t>
            </w:r>
          </w:p>
        </w:tc>
        <w:tc>
          <w:tcPr>
            <w:tcW w:w="91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145231">
            <w:pPr>
              <w:pStyle w:val="ListParagraph"/>
              <w:numPr>
                <w:ilvl w:val="0"/>
                <w:numId w:val="34"/>
              </w:numPr>
              <w:spacing w:after="160" w:line="256"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lastRenderedPageBreak/>
              <w:t>December 2019</w:t>
            </w:r>
          </w:p>
        </w:tc>
      </w:tr>
      <w:tr w:rsidR="001E7B75" w:rsidRPr="00E261E1" w:rsidTr="00E261E1">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04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C3288F">
            <w:pPr>
              <w:pStyle w:val="Body"/>
              <w:spacing w:line="240" w:lineRule="auto"/>
              <w:rPr>
                <w:rFonts w:ascii="Tahoma" w:hAnsi="Tahoma" w:cs="Tahoma"/>
                <w:b w:val="0"/>
                <w:sz w:val="20"/>
                <w:szCs w:val="20"/>
              </w:rPr>
            </w:pPr>
            <w:r w:rsidRPr="00E261E1">
              <w:rPr>
                <w:rFonts w:ascii="Tahoma" w:hAnsi="Tahoma" w:cs="Tahoma"/>
                <w:sz w:val="20"/>
                <w:szCs w:val="20"/>
              </w:rPr>
              <w:lastRenderedPageBreak/>
              <w:t>Companies and other Business Entities Bill</w:t>
            </w:r>
          </w:p>
        </w:tc>
        <w:tc>
          <w:tcPr>
            <w:tcW w:w="154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C3288F">
            <w:pPr>
              <w:pStyle w:val="Body"/>
              <w:spacing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261E1">
              <w:rPr>
                <w:rFonts w:ascii="Tahoma" w:hAnsi="Tahoma" w:cs="Tahoma"/>
                <w:sz w:val="20"/>
                <w:szCs w:val="20"/>
              </w:rPr>
              <w:t>Overhaul of Act to be in line with modern business practices and consolidation of different types of corporations so as to reduce cost and time for starting a business in Zimbabwe.</w:t>
            </w:r>
          </w:p>
        </w:tc>
        <w:tc>
          <w:tcPr>
            <w:tcW w:w="148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145231">
            <w:pPr>
              <w:pStyle w:val="ListParagraph"/>
              <w:numPr>
                <w:ilvl w:val="0"/>
                <w:numId w:val="3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t>Bill is still before Parliament and currently on second reading</w:t>
            </w:r>
          </w:p>
        </w:tc>
        <w:tc>
          <w:tcPr>
            <w:tcW w:w="91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145231">
            <w:pPr>
              <w:pStyle w:val="ListParagraph"/>
              <w:numPr>
                <w:ilvl w:val="0"/>
                <w:numId w:val="3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t>December 2019</w:t>
            </w:r>
          </w:p>
        </w:tc>
      </w:tr>
      <w:tr w:rsidR="001E7B75" w:rsidRPr="00E261E1" w:rsidTr="00E261E1">
        <w:trPr>
          <w:trHeight w:val="970"/>
        </w:trPr>
        <w:tc>
          <w:tcPr>
            <w:cnfStyle w:val="001000000000" w:firstRow="0" w:lastRow="0" w:firstColumn="1" w:lastColumn="0" w:oddVBand="0" w:evenVBand="0" w:oddHBand="0" w:evenHBand="0" w:firstRowFirstColumn="0" w:firstRowLastColumn="0" w:lastRowFirstColumn="0" w:lastRowLastColumn="0"/>
            <w:tcW w:w="104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C3288F">
            <w:pPr>
              <w:pStyle w:val="Body"/>
              <w:spacing w:line="240" w:lineRule="auto"/>
              <w:rPr>
                <w:rFonts w:ascii="Tahoma" w:hAnsi="Tahoma" w:cs="Tahoma"/>
                <w:b w:val="0"/>
                <w:sz w:val="20"/>
                <w:szCs w:val="20"/>
              </w:rPr>
            </w:pPr>
            <w:r w:rsidRPr="00E261E1">
              <w:rPr>
                <w:rFonts w:ascii="Tahoma" w:hAnsi="Tahoma" w:cs="Tahoma"/>
                <w:sz w:val="20"/>
                <w:szCs w:val="20"/>
              </w:rPr>
              <w:t>Regional Town and Country Planning Amendment Bill</w:t>
            </w:r>
          </w:p>
        </w:tc>
        <w:tc>
          <w:tcPr>
            <w:tcW w:w="154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C3288F">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261E1">
              <w:rPr>
                <w:rFonts w:ascii="Tahoma" w:hAnsi="Tahoma" w:cs="Tahoma"/>
                <w:sz w:val="20"/>
                <w:szCs w:val="20"/>
              </w:rPr>
              <w:t>Improve the time taken and procedures for issuing construction permits.</w:t>
            </w:r>
          </w:p>
        </w:tc>
        <w:tc>
          <w:tcPr>
            <w:tcW w:w="148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145231">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t>Bill not yet before Parliament and was sent to the Ministry of Local Government for further action.</w:t>
            </w:r>
          </w:p>
        </w:tc>
        <w:tc>
          <w:tcPr>
            <w:tcW w:w="91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145231">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t>December 2019</w:t>
            </w:r>
          </w:p>
        </w:tc>
      </w:tr>
      <w:tr w:rsidR="001E7B75" w:rsidRPr="00E261E1" w:rsidTr="00E261E1">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04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C3288F">
            <w:pPr>
              <w:pStyle w:val="Body"/>
              <w:spacing w:line="240" w:lineRule="auto"/>
              <w:rPr>
                <w:rFonts w:ascii="Tahoma" w:hAnsi="Tahoma" w:cs="Tahoma"/>
                <w:b w:val="0"/>
                <w:sz w:val="20"/>
                <w:szCs w:val="20"/>
              </w:rPr>
            </w:pPr>
            <w:r w:rsidRPr="00E261E1">
              <w:rPr>
                <w:rFonts w:ascii="Tahoma" w:hAnsi="Tahoma" w:cs="Tahoma"/>
                <w:sz w:val="20"/>
                <w:szCs w:val="20"/>
              </w:rPr>
              <w:t>NSSA Act</w:t>
            </w:r>
          </w:p>
        </w:tc>
        <w:tc>
          <w:tcPr>
            <w:tcW w:w="154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C3288F">
            <w:pPr>
              <w:pStyle w:val="Body"/>
              <w:spacing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261E1">
              <w:rPr>
                <w:rFonts w:ascii="Tahoma" w:hAnsi="Tahoma" w:cs="Tahoma"/>
                <w:sz w:val="20"/>
                <w:szCs w:val="20"/>
              </w:rPr>
              <w:t>Will streamline the number of tax payments made by employers by enabling ZIMRA to collect NSSA contributions on behalf of NSSA combined with ZIMDEF Payments thus reducing employee related payments from 36 to 12.</w:t>
            </w:r>
          </w:p>
        </w:tc>
        <w:tc>
          <w:tcPr>
            <w:tcW w:w="148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145231">
            <w:pPr>
              <w:pStyle w:val="ListParagraph"/>
              <w:numPr>
                <w:ilvl w:val="0"/>
                <w:numId w:val="3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t>The Bill hasn’t been drafted yet because the relevant Ministry was not aggregable to certain amendments, i.e issue of tax collections</w:t>
            </w:r>
          </w:p>
        </w:tc>
        <w:tc>
          <w:tcPr>
            <w:tcW w:w="91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145231">
            <w:pPr>
              <w:pStyle w:val="ListParagraph"/>
              <w:numPr>
                <w:ilvl w:val="0"/>
                <w:numId w:val="3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t>December 2019</w:t>
            </w:r>
          </w:p>
        </w:tc>
      </w:tr>
      <w:tr w:rsidR="001E7B75" w:rsidRPr="00E261E1" w:rsidTr="00E261E1">
        <w:trPr>
          <w:trHeight w:val="970"/>
        </w:trPr>
        <w:tc>
          <w:tcPr>
            <w:cnfStyle w:val="001000000000" w:firstRow="0" w:lastRow="0" w:firstColumn="1" w:lastColumn="0" w:oddVBand="0" w:evenVBand="0" w:oddHBand="0" w:evenHBand="0" w:firstRowFirstColumn="0" w:firstRowLastColumn="0" w:lastRowFirstColumn="0" w:lastRowLastColumn="0"/>
            <w:tcW w:w="104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C3288F">
            <w:pPr>
              <w:pStyle w:val="Body"/>
              <w:spacing w:line="240" w:lineRule="auto"/>
              <w:rPr>
                <w:rFonts w:ascii="Tahoma" w:hAnsi="Tahoma" w:cs="Tahoma"/>
                <w:b w:val="0"/>
                <w:sz w:val="20"/>
                <w:szCs w:val="20"/>
              </w:rPr>
            </w:pPr>
            <w:r w:rsidRPr="00E261E1">
              <w:rPr>
                <w:rFonts w:ascii="Tahoma" w:hAnsi="Tahoma" w:cs="Tahoma"/>
                <w:sz w:val="20"/>
                <w:szCs w:val="20"/>
              </w:rPr>
              <w:t>Manpower Act</w:t>
            </w:r>
          </w:p>
        </w:tc>
        <w:tc>
          <w:tcPr>
            <w:tcW w:w="154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C3288F">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261E1">
              <w:rPr>
                <w:rFonts w:ascii="Tahoma" w:hAnsi="Tahoma" w:cs="Tahoma"/>
                <w:sz w:val="20"/>
                <w:szCs w:val="20"/>
              </w:rPr>
              <w:t>Will streamline the number of tax payments made by employers by enabling ZIMRA to collect ZIMDEF contributions on behalf of ZIMDEF combined with NSSA Payments thus reducing employee related payments from 36 to 12.</w:t>
            </w:r>
          </w:p>
        </w:tc>
        <w:tc>
          <w:tcPr>
            <w:tcW w:w="148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145231">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t>Draft Principles crafted and presented to the relevant Ministry.</w:t>
            </w:r>
          </w:p>
          <w:p w:rsidR="001E7B75" w:rsidRPr="00E261E1" w:rsidRDefault="001E7B75" w:rsidP="00C3288F">
            <w:pPr>
              <w:pStyle w:val="ListParagraph"/>
              <w:spacing w:line="240" w:lineRule="auto"/>
              <w:ind w:left="360"/>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bdr w:val="none" w:sz="0" w:space="0" w:color="auto" w:frame="1"/>
              </w:rPr>
            </w:pPr>
          </w:p>
          <w:p w:rsidR="001E7B75" w:rsidRPr="00E261E1" w:rsidRDefault="001E7B75" w:rsidP="00145231">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t>Continuous professional development training to enhance staff performance being drafted.</w:t>
            </w:r>
          </w:p>
        </w:tc>
        <w:tc>
          <w:tcPr>
            <w:tcW w:w="91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1E7B75" w:rsidRPr="00E261E1" w:rsidRDefault="001E7B75" w:rsidP="00145231">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t>December 2019</w:t>
            </w:r>
          </w:p>
        </w:tc>
      </w:tr>
      <w:tr w:rsidR="001E7B75" w:rsidRPr="00E261E1" w:rsidTr="00E261E1">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104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1E7B75" w:rsidRPr="00E261E1" w:rsidRDefault="001E7B75" w:rsidP="00C3288F">
            <w:pPr>
              <w:pStyle w:val="Body"/>
              <w:spacing w:line="240" w:lineRule="auto"/>
              <w:rPr>
                <w:rFonts w:ascii="Tahoma" w:hAnsi="Tahoma" w:cs="Tahoma"/>
                <w:sz w:val="20"/>
                <w:szCs w:val="20"/>
              </w:rPr>
            </w:pPr>
            <w:r w:rsidRPr="00E261E1">
              <w:rPr>
                <w:rFonts w:ascii="Tahoma" w:eastAsia="Cambria" w:hAnsi="Tahoma" w:cs="Tahoma"/>
                <w:bCs w:val="0"/>
                <w:sz w:val="20"/>
                <w:szCs w:val="20"/>
                <w:lang w:val="en-GB"/>
              </w:rPr>
              <w:t>Repealing of POSA</w:t>
            </w:r>
          </w:p>
        </w:tc>
        <w:tc>
          <w:tcPr>
            <w:tcW w:w="154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1E7B75" w:rsidRPr="00E261E1" w:rsidRDefault="001E7B75" w:rsidP="00C3288F">
            <w:pPr>
              <w:pStyle w:val="Body"/>
              <w:spacing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E261E1">
              <w:rPr>
                <w:rFonts w:ascii="Tahoma" w:hAnsi="Tahoma" w:cs="Tahoma"/>
                <w:sz w:val="20"/>
                <w:szCs w:val="20"/>
              </w:rPr>
              <w:t xml:space="preserve">To maintain peace and order in the country </w:t>
            </w:r>
          </w:p>
        </w:tc>
        <w:tc>
          <w:tcPr>
            <w:tcW w:w="148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1E7B75" w:rsidRPr="00E261E1" w:rsidRDefault="001E7B75" w:rsidP="00145231">
            <w:pPr>
              <w:pStyle w:val="ListParagraph"/>
              <w:numPr>
                <w:ilvl w:val="0"/>
                <w:numId w:val="34"/>
              </w:numPr>
              <w:spacing w:after="0" w:line="256" w:lineRule="auto"/>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t xml:space="preserve">The proposed Maintenance of Peace and Order Bill, which will repeal the Public Order and Security Act (POSA) is currently before Parliament </w:t>
            </w:r>
          </w:p>
          <w:p w:rsidR="001E7B75" w:rsidRPr="00E261E1" w:rsidRDefault="001E7B75" w:rsidP="00C3288F">
            <w:pPr>
              <w:pStyle w:val="ListParagraph"/>
              <w:spacing w:line="240" w:lineRule="auto"/>
              <w:ind w:left="360"/>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bdr w:val="none" w:sz="0" w:space="0" w:color="auto" w:frame="1"/>
              </w:rPr>
            </w:pPr>
          </w:p>
        </w:tc>
        <w:tc>
          <w:tcPr>
            <w:tcW w:w="91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1E7B75" w:rsidRPr="00E261E1" w:rsidRDefault="001E7B75" w:rsidP="00145231">
            <w:pPr>
              <w:pStyle w:val="ListParagraph"/>
              <w:numPr>
                <w:ilvl w:val="0"/>
                <w:numId w:val="34"/>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t xml:space="preserve">Second quarter of 2019 </w:t>
            </w:r>
          </w:p>
        </w:tc>
      </w:tr>
      <w:tr w:rsidR="001E7B75" w:rsidRPr="00E261E1" w:rsidTr="00E261E1">
        <w:trPr>
          <w:trHeight w:val="970"/>
        </w:trPr>
        <w:tc>
          <w:tcPr>
            <w:cnfStyle w:val="001000000000" w:firstRow="0" w:lastRow="0" w:firstColumn="1" w:lastColumn="0" w:oddVBand="0" w:evenVBand="0" w:oddHBand="0" w:evenHBand="0" w:firstRowFirstColumn="0" w:firstRowLastColumn="0" w:lastRowFirstColumn="0" w:lastRowLastColumn="0"/>
            <w:tcW w:w="104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1E7B75" w:rsidRPr="00E261E1" w:rsidRDefault="001E7B75" w:rsidP="00C3288F">
            <w:pPr>
              <w:jc w:val="both"/>
              <w:rPr>
                <w:rFonts w:ascii="Tahoma" w:hAnsi="Tahoma" w:cs="Tahoma"/>
                <w:sz w:val="20"/>
                <w:szCs w:val="20"/>
              </w:rPr>
            </w:pPr>
            <w:r w:rsidRPr="00E261E1">
              <w:rPr>
                <w:rFonts w:ascii="Tahoma" w:eastAsia="Cambria" w:hAnsi="Tahoma" w:cs="Tahoma"/>
                <w:bCs w:val="0"/>
                <w:sz w:val="20"/>
                <w:szCs w:val="20"/>
                <w:lang w:val="en-GB"/>
              </w:rPr>
              <w:t>Repealing of AIPPA</w:t>
            </w:r>
          </w:p>
          <w:p w:rsidR="001E7B75" w:rsidRPr="00E261E1" w:rsidRDefault="001E7B75" w:rsidP="00C3288F">
            <w:pPr>
              <w:pStyle w:val="Body"/>
              <w:spacing w:line="240" w:lineRule="auto"/>
              <w:rPr>
                <w:rFonts w:ascii="Tahoma" w:eastAsia="Arial Unicode MS" w:hAnsi="Tahoma" w:cs="Tahoma"/>
                <w:sz w:val="20"/>
                <w:szCs w:val="20"/>
                <w:bdr w:val="none" w:sz="0" w:space="0" w:color="auto" w:frame="1"/>
              </w:rPr>
            </w:pPr>
          </w:p>
        </w:tc>
        <w:tc>
          <w:tcPr>
            <w:tcW w:w="1544"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1E7B75" w:rsidRPr="00E261E1" w:rsidRDefault="001E7B75" w:rsidP="00C3288F">
            <w:pPr>
              <w:pStyle w:val="Body"/>
              <w:spacing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E261E1">
              <w:rPr>
                <w:rFonts w:ascii="Tahoma" w:hAnsi="Tahoma" w:cs="Tahoma"/>
                <w:sz w:val="20"/>
                <w:szCs w:val="20"/>
              </w:rPr>
              <w:t xml:space="preserve">To enhance freedom of expression.  </w:t>
            </w:r>
          </w:p>
        </w:tc>
        <w:tc>
          <w:tcPr>
            <w:tcW w:w="1488"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1E7B75" w:rsidRPr="00E261E1" w:rsidRDefault="001E7B75" w:rsidP="00145231">
            <w:pPr>
              <w:pStyle w:val="ListParagraph"/>
              <w:numPr>
                <w:ilvl w:val="0"/>
                <w:numId w:val="34"/>
              </w:numPr>
              <w:spacing w:after="0" w:line="256" w:lineRule="auto"/>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20"/>
                <w:szCs w:val="20"/>
                <w:u w:color="000000"/>
                <w:lang w:val="en-US" w:eastAsia="en-ZW"/>
              </w:rPr>
            </w:pPr>
            <w:r w:rsidRPr="00E261E1">
              <w:rPr>
                <w:rFonts w:ascii="Tahoma" w:hAnsi="Tahoma" w:cs="Tahoma"/>
                <w:color w:val="000000"/>
                <w:sz w:val="20"/>
                <w:szCs w:val="20"/>
                <w:u w:color="000000"/>
                <w:lang w:val="en-US" w:eastAsia="en-ZW"/>
              </w:rPr>
              <w:t xml:space="preserve">Cabinet approved principles of 3 Bills, which will repeal the Access to Information and Protection of Privacy Act (AIPPA) </w:t>
            </w:r>
            <w:r w:rsidRPr="00E261E1">
              <w:rPr>
                <w:rFonts w:ascii="Tahoma" w:hAnsi="Tahoma" w:cs="Tahoma"/>
                <w:color w:val="000000"/>
                <w:sz w:val="20"/>
                <w:szCs w:val="20"/>
                <w:u w:color="000000"/>
                <w:lang w:val="en-US" w:eastAsia="en-ZW"/>
              </w:rPr>
              <w:lastRenderedPageBreak/>
              <w:t>(Chapter 10:27). These are the Protection of Personal Information Bill and the Freedom of Information Bill approved on 19 February and the Zimbabwe Media Commission Bill approved on 13 February 2019.</w:t>
            </w:r>
          </w:p>
        </w:tc>
        <w:tc>
          <w:tcPr>
            <w:tcW w:w="919" w:type="pc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1E7B75" w:rsidRPr="00E261E1" w:rsidRDefault="001E7B75" w:rsidP="00145231">
            <w:pPr>
              <w:pStyle w:val="ListParagraph"/>
              <w:numPr>
                <w:ilvl w:val="0"/>
                <w:numId w:val="34"/>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bdr w:val="none" w:sz="0" w:space="0" w:color="auto" w:frame="1"/>
              </w:rPr>
            </w:pPr>
            <w:r w:rsidRPr="00E261E1">
              <w:rPr>
                <w:rFonts w:ascii="Tahoma" w:hAnsi="Tahoma" w:cs="Tahoma"/>
                <w:sz w:val="20"/>
                <w:szCs w:val="20"/>
                <w:bdr w:val="none" w:sz="0" w:space="0" w:color="auto" w:frame="1"/>
              </w:rPr>
              <w:lastRenderedPageBreak/>
              <w:t>Fourth quarter of 2019</w:t>
            </w:r>
          </w:p>
        </w:tc>
      </w:tr>
    </w:tbl>
    <w:p w:rsidR="00145231" w:rsidRPr="00BE4A06" w:rsidRDefault="00145231" w:rsidP="00145231">
      <w:pPr>
        <w:rPr>
          <w:rFonts w:ascii="Tahoma" w:hAnsi="Tahoma" w:cs="Tahoma"/>
        </w:rPr>
      </w:pPr>
    </w:p>
    <w:p w:rsidR="000948C0" w:rsidRDefault="000948C0" w:rsidP="000948C0"/>
    <w:p w:rsidR="00AE659E" w:rsidRPr="00173935" w:rsidRDefault="006B49F2" w:rsidP="00B1518C">
      <w:pPr>
        <w:pStyle w:val="Heading1"/>
        <w:rPr>
          <w:rFonts w:ascii="Tahoma" w:hAnsi="Tahoma" w:cs="Tahoma"/>
          <w:b/>
          <w:color w:val="auto"/>
          <w:sz w:val="24"/>
          <w:szCs w:val="24"/>
        </w:rPr>
      </w:pPr>
      <w:bookmarkStart w:id="29" w:name="_Toc8301966"/>
      <w:r w:rsidRPr="00173935">
        <w:rPr>
          <w:rFonts w:ascii="Tahoma" w:hAnsi="Tahoma" w:cs="Tahoma"/>
          <w:b/>
          <w:color w:val="auto"/>
          <w:sz w:val="24"/>
          <w:szCs w:val="24"/>
        </w:rPr>
        <w:t>CONCLUSION</w:t>
      </w:r>
      <w:bookmarkEnd w:id="29"/>
      <w:r w:rsidRPr="00173935">
        <w:rPr>
          <w:rFonts w:ascii="Tahoma" w:hAnsi="Tahoma" w:cs="Tahoma"/>
          <w:b/>
          <w:color w:val="auto"/>
          <w:sz w:val="24"/>
          <w:szCs w:val="24"/>
        </w:rPr>
        <w:t xml:space="preserve"> </w:t>
      </w:r>
    </w:p>
    <w:p w:rsidR="00AE659E" w:rsidRPr="00173935" w:rsidRDefault="00AE659E" w:rsidP="002C309C">
      <w:pPr>
        <w:rPr>
          <w:rFonts w:ascii="Tahoma" w:hAnsi="Tahoma" w:cs="Tahoma"/>
          <w:sz w:val="24"/>
          <w:szCs w:val="24"/>
        </w:rPr>
      </w:pPr>
    </w:p>
    <w:p w:rsidR="0023699A" w:rsidRDefault="002365CB" w:rsidP="00E7388E">
      <w:pPr>
        <w:pStyle w:val="ListParagraph"/>
        <w:numPr>
          <w:ilvl w:val="0"/>
          <w:numId w:val="1"/>
        </w:numPr>
        <w:spacing w:after="160" w:line="360" w:lineRule="auto"/>
        <w:ind w:left="567" w:hanging="567"/>
        <w:jc w:val="both"/>
        <w:rPr>
          <w:rFonts w:ascii="Tahoma" w:hAnsi="Tahoma" w:cs="Tahoma"/>
          <w:sz w:val="24"/>
          <w:szCs w:val="24"/>
        </w:rPr>
      </w:pPr>
      <w:r w:rsidRPr="002365CB">
        <w:rPr>
          <w:rFonts w:ascii="Tahoma" w:hAnsi="Tahoma" w:cs="Tahoma"/>
          <w:sz w:val="24"/>
          <w:szCs w:val="24"/>
        </w:rPr>
        <w:t xml:space="preserve">Generally, the economy has experienced significant headwinds and the cyclone that </w:t>
      </w:r>
      <w:r w:rsidR="00367C5D">
        <w:rPr>
          <w:rFonts w:ascii="Tahoma" w:hAnsi="Tahoma" w:cs="Tahoma"/>
          <w:sz w:val="24"/>
          <w:szCs w:val="24"/>
        </w:rPr>
        <w:t>affected</w:t>
      </w:r>
      <w:r w:rsidRPr="002365CB">
        <w:rPr>
          <w:rFonts w:ascii="Tahoma" w:hAnsi="Tahoma" w:cs="Tahoma"/>
          <w:sz w:val="24"/>
          <w:szCs w:val="24"/>
        </w:rPr>
        <w:t xml:space="preserve"> </w:t>
      </w:r>
      <w:r>
        <w:rPr>
          <w:rFonts w:ascii="Tahoma" w:hAnsi="Tahoma" w:cs="Tahoma"/>
          <w:sz w:val="24"/>
          <w:szCs w:val="24"/>
        </w:rPr>
        <w:t xml:space="preserve">the country in </w:t>
      </w:r>
      <w:r w:rsidRPr="002365CB">
        <w:rPr>
          <w:rFonts w:ascii="Tahoma" w:hAnsi="Tahoma" w:cs="Tahoma"/>
          <w:sz w:val="24"/>
          <w:szCs w:val="24"/>
        </w:rPr>
        <w:t xml:space="preserve">March 2019 poses yet another obstacle to strong, sustainable, balanced, and job rich growth. </w:t>
      </w:r>
      <w:r>
        <w:rPr>
          <w:rFonts w:ascii="Tahoma" w:hAnsi="Tahoma" w:cs="Tahoma"/>
          <w:sz w:val="24"/>
          <w:szCs w:val="24"/>
        </w:rPr>
        <w:t>Some of the c</w:t>
      </w:r>
      <w:r w:rsidR="0023699A" w:rsidRPr="00173935">
        <w:rPr>
          <w:rFonts w:ascii="Tahoma" w:hAnsi="Tahoma" w:cs="Tahoma"/>
          <w:sz w:val="24"/>
          <w:szCs w:val="24"/>
        </w:rPr>
        <w:t xml:space="preserve">hallenges </w:t>
      </w:r>
      <w:r>
        <w:rPr>
          <w:rFonts w:ascii="Tahoma" w:hAnsi="Tahoma" w:cs="Tahoma"/>
          <w:sz w:val="24"/>
          <w:szCs w:val="24"/>
        </w:rPr>
        <w:t xml:space="preserve">also </w:t>
      </w:r>
      <w:r w:rsidR="0023699A" w:rsidRPr="00173935">
        <w:rPr>
          <w:rFonts w:ascii="Tahoma" w:hAnsi="Tahoma" w:cs="Tahoma"/>
          <w:sz w:val="24"/>
          <w:szCs w:val="24"/>
        </w:rPr>
        <w:t>emanated from inflationary pressures</w:t>
      </w:r>
      <w:r w:rsidR="00942344">
        <w:rPr>
          <w:rFonts w:ascii="Tahoma" w:hAnsi="Tahoma" w:cs="Tahoma"/>
          <w:sz w:val="24"/>
          <w:szCs w:val="24"/>
        </w:rPr>
        <w:t xml:space="preserve"> and these challenges are insurmountable and being targeted during the three quarters of the year.</w:t>
      </w:r>
      <w:r w:rsidR="0023699A" w:rsidRPr="00173935">
        <w:rPr>
          <w:rFonts w:ascii="Tahoma" w:hAnsi="Tahoma" w:cs="Tahoma"/>
          <w:sz w:val="24"/>
          <w:szCs w:val="24"/>
        </w:rPr>
        <w:t xml:space="preserve"> </w:t>
      </w:r>
    </w:p>
    <w:p w:rsidR="00E73121" w:rsidRDefault="00E73121" w:rsidP="00E73121">
      <w:pPr>
        <w:pStyle w:val="ListParagraph"/>
        <w:spacing w:after="160" w:line="360" w:lineRule="auto"/>
        <w:ind w:left="567"/>
        <w:jc w:val="both"/>
        <w:rPr>
          <w:rFonts w:ascii="Tahoma" w:hAnsi="Tahoma" w:cs="Tahoma"/>
          <w:sz w:val="24"/>
          <w:szCs w:val="24"/>
        </w:rPr>
      </w:pPr>
    </w:p>
    <w:p w:rsidR="00E73121" w:rsidRDefault="00E73121" w:rsidP="00E7388E">
      <w:pPr>
        <w:pStyle w:val="ListParagraph"/>
        <w:numPr>
          <w:ilvl w:val="0"/>
          <w:numId w:val="1"/>
        </w:numPr>
        <w:spacing w:after="160" w:line="360" w:lineRule="auto"/>
        <w:ind w:left="567" w:hanging="567"/>
        <w:jc w:val="both"/>
        <w:rPr>
          <w:rFonts w:ascii="Tahoma" w:hAnsi="Tahoma" w:cs="Tahoma"/>
          <w:sz w:val="24"/>
          <w:szCs w:val="24"/>
        </w:rPr>
      </w:pPr>
      <w:r>
        <w:rPr>
          <w:rFonts w:ascii="Tahoma" w:hAnsi="Tahoma" w:cs="Tahoma"/>
          <w:sz w:val="24"/>
          <w:szCs w:val="24"/>
        </w:rPr>
        <w:t>I will be updating this House on further developments and other proposals during my 2019 Mid-Year Fiscal Policy Review presentation sometime in July 2019.</w:t>
      </w:r>
    </w:p>
    <w:p w:rsidR="00711155" w:rsidRDefault="00711155" w:rsidP="00711155">
      <w:pPr>
        <w:pStyle w:val="ListParagraph"/>
        <w:spacing w:after="160" w:line="360" w:lineRule="auto"/>
        <w:ind w:left="567"/>
        <w:jc w:val="both"/>
        <w:rPr>
          <w:rFonts w:ascii="Tahoma" w:hAnsi="Tahoma" w:cs="Tahoma"/>
          <w:sz w:val="24"/>
          <w:szCs w:val="24"/>
        </w:rPr>
      </w:pPr>
    </w:p>
    <w:p w:rsidR="00942344" w:rsidRDefault="00942344" w:rsidP="00D15462">
      <w:pPr>
        <w:spacing w:after="0" w:line="360" w:lineRule="auto"/>
        <w:jc w:val="both"/>
        <w:rPr>
          <w:rFonts w:ascii="Tahoma" w:hAnsi="Tahoma" w:cs="Tahoma"/>
          <w:b/>
          <w:sz w:val="24"/>
          <w:szCs w:val="24"/>
        </w:rPr>
      </w:pPr>
    </w:p>
    <w:p w:rsidR="00942344" w:rsidRDefault="00942344" w:rsidP="00D15462">
      <w:pPr>
        <w:spacing w:after="0" w:line="360" w:lineRule="auto"/>
        <w:jc w:val="both"/>
        <w:rPr>
          <w:rFonts w:ascii="Tahoma" w:hAnsi="Tahoma" w:cs="Tahoma"/>
          <w:b/>
          <w:sz w:val="24"/>
          <w:szCs w:val="24"/>
        </w:rPr>
      </w:pPr>
    </w:p>
    <w:p w:rsidR="00BA61EE" w:rsidRPr="00173935" w:rsidRDefault="00B35255" w:rsidP="00D15462">
      <w:pPr>
        <w:spacing w:after="0" w:line="360" w:lineRule="auto"/>
        <w:jc w:val="both"/>
        <w:rPr>
          <w:rFonts w:ascii="Tahoma" w:hAnsi="Tahoma" w:cs="Tahoma"/>
          <w:b/>
          <w:sz w:val="24"/>
          <w:szCs w:val="24"/>
        </w:rPr>
      </w:pPr>
      <w:r>
        <w:rPr>
          <w:rFonts w:ascii="Tahoma" w:hAnsi="Tahoma" w:cs="Tahoma"/>
          <w:b/>
          <w:sz w:val="24"/>
          <w:szCs w:val="24"/>
        </w:rPr>
        <w:t>MINISTER</w:t>
      </w:r>
      <w:r w:rsidRPr="00173935">
        <w:rPr>
          <w:rFonts w:ascii="Tahoma" w:hAnsi="Tahoma" w:cs="Tahoma"/>
          <w:b/>
          <w:sz w:val="24"/>
          <w:szCs w:val="24"/>
        </w:rPr>
        <w:t xml:space="preserve"> OF FINANCE AND ECONOMIC DEVELOPMENT</w:t>
      </w:r>
    </w:p>
    <w:p w:rsidR="00B35255" w:rsidRDefault="00B35255" w:rsidP="00D15462">
      <w:pPr>
        <w:spacing w:after="0" w:line="360" w:lineRule="auto"/>
        <w:jc w:val="both"/>
        <w:rPr>
          <w:rFonts w:ascii="Tahoma" w:hAnsi="Tahoma" w:cs="Tahoma"/>
          <w:sz w:val="24"/>
          <w:szCs w:val="24"/>
        </w:rPr>
      </w:pPr>
    </w:p>
    <w:p w:rsidR="00637FDA" w:rsidRPr="00173935" w:rsidRDefault="00173935" w:rsidP="00D15462">
      <w:pPr>
        <w:spacing w:after="0" w:line="360" w:lineRule="auto"/>
        <w:jc w:val="both"/>
        <w:rPr>
          <w:rFonts w:ascii="Tahoma" w:hAnsi="Tahoma" w:cs="Tahoma"/>
          <w:sz w:val="24"/>
          <w:szCs w:val="24"/>
        </w:rPr>
      </w:pPr>
      <w:r>
        <w:rPr>
          <w:rFonts w:ascii="Tahoma" w:hAnsi="Tahoma" w:cs="Tahoma"/>
          <w:sz w:val="24"/>
          <w:szCs w:val="24"/>
        </w:rPr>
        <w:t xml:space="preserve">May </w:t>
      </w:r>
      <w:r w:rsidR="00BA61EE" w:rsidRPr="00173935">
        <w:rPr>
          <w:rFonts w:ascii="Tahoma" w:hAnsi="Tahoma" w:cs="Tahoma"/>
          <w:sz w:val="24"/>
          <w:szCs w:val="24"/>
        </w:rPr>
        <w:t>2019</w:t>
      </w:r>
    </w:p>
    <w:p w:rsidR="00D15462" w:rsidRPr="00173935" w:rsidRDefault="00D15462" w:rsidP="00D15462">
      <w:pPr>
        <w:spacing w:after="0" w:line="360" w:lineRule="auto"/>
        <w:jc w:val="both"/>
        <w:rPr>
          <w:rFonts w:ascii="Tahoma" w:hAnsi="Tahoma" w:cs="Tahoma"/>
          <w:sz w:val="24"/>
          <w:szCs w:val="24"/>
        </w:rPr>
      </w:pPr>
    </w:p>
    <w:p w:rsidR="00637FDA" w:rsidRPr="00173935" w:rsidRDefault="00637FDA">
      <w:pPr>
        <w:spacing w:after="200" w:line="276" w:lineRule="auto"/>
        <w:rPr>
          <w:rFonts w:ascii="Tahoma" w:hAnsi="Tahoma" w:cs="Tahoma"/>
          <w:sz w:val="24"/>
          <w:szCs w:val="24"/>
        </w:rPr>
      </w:pPr>
    </w:p>
    <w:sectPr w:rsidR="00637FDA" w:rsidRPr="00173935" w:rsidSect="00160FB5">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AB3" w:rsidRDefault="00603AB3" w:rsidP="00160FB5">
      <w:pPr>
        <w:spacing w:after="0" w:line="240" w:lineRule="auto"/>
      </w:pPr>
      <w:r>
        <w:separator/>
      </w:r>
    </w:p>
  </w:endnote>
  <w:endnote w:type="continuationSeparator" w:id="0">
    <w:p w:rsidR="00603AB3" w:rsidRDefault="00603AB3" w:rsidP="0016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421191"/>
      <w:docPartObj>
        <w:docPartGallery w:val="Page Numbers (Bottom of Page)"/>
        <w:docPartUnique/>
      </w:docPartObj>
    </w:sdtPr>
    <w:sdtEndPr>
      <w:rPr>
        <w:noProof/>
      </w:rPr>
    </w:sdtEndPr>
    <w:sdtContent>
      <w:p w:rsidR="00A266D2" w:rsidRDefault="00A266D2">
        <w:pPr>
          <w:pStyle w:val="Footer"/>
          <w:jc w:val="center"/>
        </w:pPr>
        <w:r>
          <w:fldChar w:fldCharType="begin"/>
        </w:r>
        <w:r>
          <w:instrText xml:space="preserve"> PAGE   \* MERGEFORMAT </w:instrText>
        </w:r>
        <w:r>
          <w:fldChar w:fldCharType="separate"/>
        </w:r>
        <w:r w:rsidR="009E17DA">
          <w:rPr>
            <w:noProof/>
          </w:rPr>
          <w:t>7</w:t>
        </w:r>
        <w:r>
          <w:rPr>
            <w:noProof/>
          </w:rPr>
          <w:fldChar w:fldCharType="end"/>
        </w:r>
      </w:p>
    </w:sdtContent>
  </w:sdt>
  <w:p w:rsidR="00A266D2" w:rsidRDefault="00A266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AB3" w:rsidRDefault="00603AB3" w:rsidP="00160FB5">
      <w:pPr>
        <w:spacing w:after="0" w:line="240" w:lineRule="auto"/>
      </w:pPr>
      <w:r>
        <w:separator/>
      </w:r>
    </w:p>
  </w:footnote>
  <w:footnote w:type="continuationSeparator" w:id="0">
    <w:p w:rsidR="00603AB3" w:rsidRDefault="00603AB3" w:rsidP="00160FB5">
      <w:pPr>
        <w:spacing w:after="0" w:line="240" w:lineRule="auto"/>
      </w:pPr>
      <w:r>
        <w:continuationSeparator/>
      </w:r>
    </w:p>
  </w:footnote>
  <w:footnote w:id="1">
    <w:p w:rsidR="00A266D2" w:rsidRPr="00B124C2" w:rsidRDefault="00A266D2" w:rsidP="007F13FA">
      <w:pPr>
        <w:pStyle w:val="FootnoteText"/>
        <w:rPr>
          <w:lang w:val="en-ZW"/>
        </w:rPr>
      </w:pPr>
      <w:r>
        <w:rPr>
          <w:rStyle w:val="FootnoteReference"/>
        </w:rPr>
        <w:footnoteRef/>
      </w:r>
      <w:r>
        <w:t xml:space="preserve"> Applied a 10% growth in imports for March 2019 since ZIMSTAT has not yet published figures for the month.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1D7"/>
    <w:multiLevelType w:val="hybridMultilevel"/>
    <w:tmpl w:val="3B8E1322"/>
    <w:lvl w:ilvl="0" w:tplc="3009000F">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ABC77CF"/>
    <w:multiLevelType w:val="hybridMultilevel"/>
    <w:tmpl w:val="FECEB9C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B962B57"/>
    <w:multiLevelType w:val="hybridMultilevel"/>
    <w:tmpl w:val="21B6B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7D156E"/>
    <w:multiLevelType w:val="hybridMultilevel"/>
    <w:tmpl w:val="C12E9EB6"/>
    <w:lvl w:ilvl="0" w:tplc="3009000F">
      <w:start w:val="1"/>
      <w:numFmt w:val="decimal"/>
      <w:lvlText w:val="%1."/>
      <w:lvlJc w:val="left"/>
      <w:pPr>
        <w:ind w:left="360" w:hanging="360"/>
      </w:p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4" w15:restartNumberingAfterBreak="0">
    <w:nsid w:val="0D826096"/>
    <w:multiLevelType w:val="hybridMultilevel"/>
    <w:tmpl w:val="14BCD5BA"/>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5" w15:restartNumberingAfterBreak="0">
    <w:nsid w:val="0E1A2CFB"/>
    <w:multiLevelType w:val="hybridMultilevel"/>
    <w:tmpl w:val="CDF81C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105CA9"/>
    <w:multiLevelType w:val="hybridMultilevel"/>
    <w:tmpl w:val="FA9CC5D8"/>
    <w:lvl w:ilvl="0" w:tplc="7B3048C8">
      <w:start w:val="1"/>
      <w:numFmt w:val="decimal"/>
      <w:pStyle w:val="ParagraphNumbering"/>
      <w:lvlText w:val="%1.     "/>
      <w:lvlJc w:val="left"/>
      <w:pPr>
        <w:tabs>
          <w:tab w:val="num" w:pos="720"/>
        </w:tabs>
        <w:ind w:left="0" w:firstLine="0"/>
      </w:pPr>
      <w:rPr>
        <w:rFonts w:hint="default"/>
        <w:b/>
        <w:i w:val="0"/>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144C4C4C"/>
    <w:multiLevelType w:val="hybridMultilevel"/>
    <w:tmpl w:val="9EC21E9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175A05AE"/>
    <w:multiLevelType w:val="hybridMultilevel"/>
    <w:tmpl w:val="AC048294"/>
    <w:lvl w:ilvl="0" w:tplc="0778C0B4">
      <w:start w:val="1"/>
      <w:numFmt w:val="decimal"/>
      <w:lvlText w:val="%1."/>
      <w:lvlJc w:val="left"/>
      <w:pPr>
        <w:ind w:left="786" w:hanging="360"/>
      </w:pPr>
      <w:rPr>
        <w:rFonts w:ascii="Tahoma" w:hAnsi="Tahoma" w:cs="Tahoma"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E5D9E"/>
    <w:multiLevelType w:val="hybridMultilevel"/>
    <w:tmpl w:val="BDF29F40"/>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abstractNum w:abstractNumId="10" w15:restartNumberingAfterBreak="0">
    <w:nsid w:val="23070E91"/>
    <w:multiLevelType w:val="hybridMultilevel"/>
    <w:tmpl w:val="06E4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7C5376"/>
    <w:multiLevelType w:val="hybridMultilevel"/>
    <w:tmpl w:val="5A68D2D4"/>
    <w:lvl w:ilvl="0" w:tplc="3009000F">
      <w:start w:val="1"/>
      <w:numFmt w:val="decimal"/>
      <w:lvlText w:val="%1."/>
      <w:lvlJc w:val="left"/>
      <w:pPr>
        <w:ind w:left="0" w:hanging="360"/>
      </w:pPr>
      <w:rPr>
        <w:rFonts w:hint="default"/>
      </w:rPr>
    </w:lvl>
    <w:lvl w:ilvl="1" w:tplc="3009000D">
      <w:start w:val="1"/>
      <w:numFmt w:val="bullet"/>
      <w:lvlText w:val=""/>
      <w:lvlJc w:val="left"/>
      <w:pPr>
        <w:ind w:left="720" w:hanging="360"/>
      </w:pPr>
      <w:rPr>
        <w:rFonts w:ascii="Wingdings" w:hAnsi="Wingdings" w:hint="default"/>
      </w:rPr>
    </w:lvl>
    <w:lvl w:ilvl="2" w:tplc="3009001B" w:tentative="1">
      <w:start w:val="1"/>
      <w:numFmt w:val="lowerRoman"/>
      <w:lvlText w:val="%3."/>
      <w:lvlJc w:val="right"/>
      <w:pPr>
        <w:ind w:left="1440" w:hanging="180"/>
      </w:pPr>
    </w:lvl>
    <w:lvl w:ilvl="3" w:tplc="3009000F" w:tentative="1">
      <w:start w:val="1"/>
      <w:numFmt w:val="decimal"/>
      <w:lvlText w:val="%4."/>
      <w:lvlJc w:val="left"/>
      <w:pPr>
        <w:ind w:left="2160" w:hanging="360"/>
      </w:pPr>
    </w:lvl>
    <w:lvl w:ilvl="4" w:tplc="30090019" w:tentative="1">
      <w:start w:val="1"/>
      <w:numFmt w:val="lowerLetter"/>
      <w:lvlText w:val="%5."/>
      <w:lvlJc w:val="left"/>
      <w:pPr>
        <w:ind w:left="2880" w:hanging="360"/>
      </w:pPr>
    </w:lvl>
    <w:lvl w:ilvl="5" w:tplc="3009001B" w:tentative="1">
      <w:start w:val="1"/>
      <w:numFmt w:val="lowerRoman"/>
      <w:lvlText w:val="%6."/>
      <w:lvlJc w:val="right"/>
      <w:pPr>
        <w:ind w:left="3600" w:hanging="180"/>
      </w:pPr>
    </w:lvl>
    <w:lvl w:ilvl="6" w:tplc="3009000F" w:tentative="1">
      <w:start w:val="1"/>
      <w:numFmt w:val="decimal"/>
      <w:lvlText w:val="%7."/>
      <w:lvlJc w:val="left"/>
      <w:pPr>
        <w:ind w:left="4320" w:hanging="360"/>
      </w:pPr>
    </w:lvl>
    <w:lvl w:ilvl="7" w:tplc="30090019" w:tentative="1">
      <w:start w:val="1"/>
      <w:numFmt w:val="lowerLetter"/>
      <w:lvlText w:val="%8."/>
      <w:lvlJc w:val="left"/>
      <w:pPr>
        <w:ind w:left="5040" w:hanging="360"/>
      </w:pPr>
    </w:lvl>
    <w:lvl w:ilvl="8" w:tplc="3009001B" w:tentative="1">
      <w:start w:val="1"/>
      <w:numFmt w:val="lowerRoman"/>
      <w:lvlText w:val="%9."/>
      <w:lvlJc w:val="right"/>
      <w:pPr>
        <w:ind w:left="5760" w:hanging="180"/>
      </w:pPr>
    </w:lvl>
  </w:abstractNum>
  <w:abstractNum w:abstractNumId="12" w15:restartNumberingAfterBreak="0">
    <w:nsid w:val="29BD73A7"/>
    <w:multiLevelType w:val="hybridMultilevel"/>
    <w:tmpl w:val="DD907286"/>
    <w:lvl w:ilvl="0" w:tplc="30090001">
      <w:start w:val="1"/>
      <w:numFmt w:val="bullet"/>
      <w:lvlText w:val=""/>
      <w:lvlJc w:val="left"/>
      <w:pPr>
        <w:ind w:left="360" w:hanging="360"/>
      </w:pPr>
      <w:rPr>
        <w:rFonts w:ascii="Symbol" w:hAnsi="Symbol" w:hint="default"/>
      </w:rPr>
    </w:lvl>
    <w:lvl w:ilvl="1" w:tplc="30090003">
      <w:start w:val="1"/>
      <w:numFmt w:val="bullet"/>
      <w:lvlText w:val="o"/>
      <w:lvlJc w:val="left"/>
      <w:pPr>
        <w:ind w:left="1080" w:hanging="360"/>
      </w:pPr>
      <w:rPr>
        <w:rFonts w:ascii="Courier New" w:hAnsi="Courier New" w:cs="Courier New" w:hint="default"/>
      </w:rPr>
    </w:lvl>
    <w:lvl w:ilvl="2" w:tplc="30090005">
      <w:start w:val="1"/>
      <w:numFmt w:val="bullet"/>
      <w:lvlText w:val=""/>
      <w:lvlJc w:val="left"/>
      <w:pPr>
        <w:ind w:left="1800" w:hanging="360"/>
      </w:pPr>
      <w:rPr>
        <w:rFonts w:ascii="Wingdings" w:hAnsi="Wingdings" w:hint="default"/>
      </w:rPr>
    </w:lvl>
    <w:lvl w:ilvl="3" w:tplc="30090001">
      <w:start w:val="1"/>
      <w:numFmt w:val="bullet"/>
      <w:lvlText w:val=""/>
      <w:lvlJc w:val="left"/>
      <w:pPr>
        <w:ind w:left="2520" w:hanging="360"/>
      </w:pPr>
      <w:rPr>
        <w:rFonts w:ascii="Symbol" w:hAnsi="Symbol" w:hint="default"/>
      </w:rPr>
    </w:lvl>
    <w:lvl w:ilvl="4" w:tplc="30090003">
      <w:start w:val="1"/>
      <w:numFmt w:val="bullet"/>
      <w:lvlText w:val="o"/>
      <w:lvlJc w:val="left"/>
      <w:pPr>
        <w:ind w:left="3240" w:hanging="360"/>
      </w:pPr>
      <w:rPr>
        <w:rFonts w:ascii="Courier New" w:hAnsi="Courier New" w:cs="Courier New" w:hint="default"/>
      </w:rPr>
    </w:lvl>
    <w:lvl w:ilvl="5" w:tplc="30090005">
      <w:start w:val="1"/>
      <w:numFmt w:val="bullet"/>
      <w:lvlText w:val=""/>
      <w:lvlJc w:val="left"/>
      <w:pPr>
        <w:ind w:left="3960" w:hanging="360"/>
      </w:pPr>
      <w:rPr>
        <w:rFonts w:ascii="Wingdings" w:hAnsi="Wingdings" w:hint="default"/>
      </w:rPr>
    </w:lvl>
    <w:lvl w:ilvl="6" w:tplc="30090001">
      <w:start w:val="1"/>
      <w:numFmt w:val="bullet"/>
      <w:lvlText w:val=""/>
      <w:lvlJc w:val="left"/>
      <w:pPr>
        <w:ind w:left="4680" w:hanging="360"/>
      </w:pPr>
      <w:rPr>
        <w:rFonts w:ascii="Symbol" w:hAnsi="Symbol" w:hint="default"/>
      </w:rPr>
    </w:lvl>
    <w:lvl w:ilvl="7" w:tplc="30090003">
      <w:start w:val="1"/>
      <w:numFmt w:val="bullet"/>
      <w:lvlText w:val="o"/>
      <w:lvlJc w:val="left"/>
      <w:pPr>
        <w:ind w:left="5400" w:hanging="360"/>
      </w:pPr>
      <w:rPr>
        <w:rFonts w:ascii="Courier New" w:hAnsi="Courier New" w:cs="Courier New" w:hint="default"/>
      </w:rPr>
    </w:lvl>
    <w:lvl w:ilvl="8" w:tplc="30090005">
      <w:start w:val="1"/>
      <w:numFmt w:val="bullet"/>
      <w:lvlText w:val=""/>
      <w:lvlJc w:val="left"/>
      <w:pPr>
        <w:ind w:left="6120" w:hanging="360"/>
      </w:pPr>
      <w:rPr>
        <w:rFonts w:ascii="Wingdings" w:hAnsi="Wingdings" w:hint="default"/>
      </w:rPr>
    </w:lvl>
  </w:abstractNum>
  <w:abstractNum w:abstractNumId="13" w15:restartNumberingAfterBreak="0">
    <w:nsid w:val="2F52292B"/>
    <w:multiLevelType w:val="hybridMultilevel"/>
    <w:tmpl w:val="F334D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17D27"/>
    <w:multiLevelType w:val="hybridMultilevel"/>
    <w:tmpl w:val="44B2EE80"/>
    <w:lvl w:ilvl="0" w:tplc="3009000D">
      <w:start w:val="1"/>
      <w:numFmt w:val="bullet"/>
      <w:lvlText w:val=""/>
      <w:lvlJc w:val="left"/>
      <w:pPr>
        <w:ind w:left="360" w:hanging="360"/>
      </w:pPr>
      <w:rPr>
        <w:rFonts w:ascii="Wingdings" w:hAnsi="Wingdings" w:hint="default"/>
      </w:rPr>
    </w:lvl>
    <w:lvl w:ilvl="1" w:tplc="30090003" w:tentative="1">
      <w:start w:val="1"/>
      <w:numFmt w:val="bullet"/>
      <w:lvlText w:val="o"/>
      <w:lvlJc w:val="left"/>
      <w:pPr>
        <w:ind w:left="873" w:hanging="360"/>
      </w:pPr>
      <w:rPr>
        <w:rFonts w:ascii="Courier New" w:hAnsi="Courier New" w:cs="Courier New" w:hint="default"/>
      </w:rPr>
    </w:lvl>
    <w:lvl w:ilvl="2" w:tplc="30090005" w:tentative="1">
      <w:start w:val="1"/>
      <w:numFmt w:val="bullet"/>
      <w:lvlText w:val=""/>
      <w:lvlJc w:val="left"/>
      <w:pPr>
        <w:ind w:left="1593" w:hanging="360"/>
      </w:pPr>
      <w:rPr>
        <w:rFonts w:ascii="Wingdings" w:hAnsi="Wingdings" w:hint="default"/>
      </w:rPr>
    </w:lvl>
    <w:lvl w:ilvl="3" w:tplc="30090001" w:tentative="1">
      <w:start w:val="1"/>
      <w:numFmt w:val="bullet"/>
      <w:lvlText w:val=""/>
      <w:lvlJc w:val="left"/>
      <w:pPr>
        <w:ind w:left="2313" w:hanging="360"/>
      </w:pPr>
      <w:rPr>
        <w:rFonts w:ascii="Symbol" w:hAnsi="Symbol" w:hint="default"/>
      </w:rPr>
    </w:lvl>
    <w:lvl w:ilvl="4" w:tplc="30090003" w:tentative="1">
      <w:start w:val="1"/>
      <w:numFmt w:val="bullet"/>
      <w:lvlText w:val="o"/>
      <w:lvlJc w:val="left"/>
      <w:pPr>
        <w:ind w:left="3033" w:hanging="360"/>
      </w:pPr>
      <w:rPr>
        <w:rFonts w:ascii="Courier New" w:hAnsi="Courier New" w:cs="Courier New" w:hint="default"/>
      </w:rPr>
    </w:lvl>
    <w:lvl w:ilvl="5" w:tplc="30090005" w:tentative="1">
      <w:start w:val="1"/>
      <w:numFmt w:val="bullet"/>
      <w:lvlText w:val=""/>
      <w:lvlJc w:val="left"/>
      <w:pPr>
        <w:ind w:left="3753" w:hanging="360"/>
      </w:pPr>
      <w:rPr>
        <w:rFonts w:ascii="Wingdings" w:hAnsi="Wingdings" w:hint="default"/>
      </w:rPr>
    </w:lvl>
    <w:lvl w:ilvl="6" w:tplc="30090001" w:tentative="1">
      <w:start w:val="1"/>
      <w:numFmt w:val="bullet"/>
      <w:lvlText w:val=""/>
      <w:lvlJc w:val="left"/>
      <w:pPr>
        <w:ind w:left="4473" w:hanging="360"/>
      </w:pPr>
      <w:rPr>
        <w:rFonts w:ascii="Symbol" w:hAnsi="Symbol" w:hint="default"/>
      </w:rPr>
    </w:lvl>
    <w:lvl w:ilvl="7" w:tplc="30090003" w:tentative="1">
      <w:start w:val="1"/>
      <w:numFmt w:val="bullet"/>
      <w:lvlText w:val="o"/>
      <w:lvlJc w:val="left"/>
      <w:pPr>
        <w:ind w:left="5193" w:hanging="360"/>
      </w:pPr>
      <w:rPr>
        <w:rFonts w:ascii="Courier New" w:hAnsi="Courier New" w:cs="Courier New" w:hint="default"/>
      </w:rPr>
    </w:lvl>
    <w:lvl w:ilvl="8" w:tplc="30090005" w:tentative="1">
      <w:start w:val="1"/>
      <w:numFmt w:val="bullet"/>
      <w:lvlText w:val=""/>
      <w:lvlJc w:val="left"/>
      <w:pPr>
        <w:ind w:left="5913" w:hanging="360"/>
      </w:pPr>
      <w:rPr>
        <w:rFonts w:ascii="Wingdings" w:hAnsi="Wingdings" w:hint="default"/>
      </w:rPr>
    </w:lvl>
  </w:abstractNum>
  <w:abstractNum w:abstractNumId="15" w15:restartNumberingAfterBreak="0">
    <w:nsid w:val="32F17CA1"/>
    <w:multiLevelType w:val="hybridMultilevel"/>
    <w:tmpl w:val="17A0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00694D"/>
    <w:multiLevelType w:val="hybridMultilevel"/>
    <w:tmpl w:val="EC007A52"/>
    <w:lvl w:ilvl="0" w:tplc="1714AB66">
      <w:start w:val="1"/>
      <w:numFmt w:val="decimal"/>
      <w:lvlText w:val="%1."/>
      <w:lvlJc w:val="left"/>
      <w:pPr>
        <w:ind w:left="720" w:hanging="360"/>
      </w:pPr>
      <w:rPr>
        <w:b w:val="0"/>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3ACC548C"/>
    <w:multiLevelType w:val="hybridMultilevel"/>
    <w:tmpl w:val="949A3F76"/>
    <w:lvl w:ilvl="0" w:tplc="EC26FA7A">
      <w:start w:val="1"/>
      <w:numFmt w:val="decimal"/>
      <w:lvlText w:val="%1."/>
      <w:lvlJc w:val="left"/>
      <w:pPr>
        <w:ind w:left="502" w:hanging="360"/>
      </w:pPr>
      <w:rPr>
        <w:rFonts w:ascii="Tahoma" w:hAnsi="Tahoma" w:cs="Tahoma" w:hint="default"/>
        <w:b w:val="0"/>
        <w:i w:val="0"/>
        <w:color w:val="auto"/>
        <w:sz w:val="24"/>
        <w:szCs w:val="24"/>
      </w:rPr>
    </w:lvl>
    <w:lvl w:ilvl="1" w:tplc="04090001">
      <w:start w:val="1"/>
      <w:numFmt w:val="bullet"/>
      <w:lvlText w:val=""/>
      <w:lvlJc w:val="left"/>
      <w:pPr>
        <w:ind w:left="1440" w:hanging="360"/>
      </w:pPr>
      <w:rPr>
        <w:rFonts w:ascii="Symbol" w:hAnsi="Symbol" w:hint="default"/>
      </w:rPr>
    </w:lvl>
    <w:lvl w:ilvl="2" w:tplc="2B6056A6">
      <w:start w:val="1"/>
      <w:numFmt w:val="lowerRoman"/>
      <w:lvlText w:val="%3."/>
      <w:lvlJc w:val="left"/>
      <w:pPr>
        <w:ind w:left="2700" w:hanging="72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E575DCF"/>
    <w:multiLevelType w:val="hybridMultilevel"/>
    <w:tmpl w:val="7174EF80"/>
    <w:lvl w:ilvl="0" w:tplc="BEA8C832">
      <w:start w:val="1"/>
      <w:numFmt w:val="decimal"/>
      <w:lvlText w:val="%1."/>
      <w:lvlJc w:val="left"/>
      <w:pPr>
        <w:ind w:left="720" w:hanging="360"/>
      </w:pPr>
      <w:rPr>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14D53"/>
    <w:multiLevelType w:val="hybridMultilevel"/>
    <w:tmpl w:val="7A3A9846"/>
    <w:lvl w:ilvl="0" w:tplc="3009000F">
      <w:start w:val="1"/>
      <w:numFmt w:val="decimal"/>
      <w:lvlText w:val="%1."/>
      <w:lvlJc w:val="left"/>
      <w:pPr>
        <w:ind w:left="757" w:hanging="360"/>
      </w:pPr>
    </w:lvl>
    <w:lvl w:ilvl="1" w:tplc="30090019">
      <w:start w:val="1"/>
      <w:numFmt w:val="lowerLetter"/>
      <w:lvlText w:val="%2."/>
      <w:lvlJc w:val="left"/>
      <w:pPr>
        <w:ind w:left="1477" w:hanging="360"/>
      </w:pPr>
    </w:lvl>
    <w:lvl w:ilvl="2" w:tplc="3009001B">
      <w:start w:val="1"/>
      <w:numFmt w:val="lowerRoman"/>
      <w:lvlText w:val="%3."/>
      <w:lvlJc w:val="right"/>
      <w:pPr>
        <w:ind w:left="2197" w:hanging="180"/>
      </w:pPr>
    </w:lvl>
    <w:lvl w:ilvl="3" w:tplc="3009000F">
      <w:start w:val="1"/>
      <w:numFmt w:val="decimal"/>
      <w:lvlText w:val="%4."/>
      <w:lvlJc w:val="left"/>
      <w:pPr>
        <w:ind w:left="2917" w:hanging="360"/>
      </w:pPr>
    </w:lvl>
    <w:lvl w:ilvl="4" w:tplc="30090019">
      <w:start w:val="1"/>
      <w:numFmt w:val="lowerLetter"/>
      <w:lvlText w:val="%5."/>
      <w:lvlJc w:val="left"/>
      <w:pPr>
        <w:ind w:left="3637" w:hanging="360"/>
      </w:pPr>
    </w:lvl>
    <w:lvl w:ilvl="5" w:tplc="3009001B">
      <w:start w:val="1"/>
      <w:numFmt w:val="lowerRoman"/>
      <w:lvlText w:val="%6."/>
      <w:lvlJc w:val="right"/>
      <w:pPr>
        <w:ind w:left="4357" w:hanging="180"/>
      </w:pPr>
    </w:lvl>
    <w:lvl w:ilvl="6" w:tplc="3009000F">
      <w:start w:val="1"/>
      <w:numFmt w:val="decimal"/>
      <w:lvlText w:val="%7."/>
      <w:lvlJc w:val="left"/>
      <w:pPr>
        <w:ind w:left="5077" w:hanging="360"/>
      </w:pPr>
    </w:lvl>
    <w:lvl w:ilvl="7" w:tplc="30090019">
      <w:start w:val="1"/>
      <w:numFmt w:val="lowerLetter"/>
      <w:lvlText w:val="%8."/>
      <w:lvlJc w:val="left"/>
      <w:pPr>
        <w:ind w:left="5797" w:hanging="360"/>
      </w:pPr>
    </w:lvl>
    <w:lvl w:ilvl="8" w:tplc="3009001B">
      <w:start w:val="1"/>
      <w:numFmt w:val="lowerRoman"/>
      <w:lvlText w:val="%9."/>
      <w:lvlJc w:val="right"/>
      <w:pPr>
        <w:ind w:left="6517" w:hanging="180"/>
      </w:pPr>
    </w:lvl>
  </w:abstractNum>
  <w:abstractNum w:abstractNumId="20" w15:restartNumberingAfterBreak="0">
    <w:nsid w:val="428C2E33"/>
    <w:multiLevelType w:val="hybridMultilevel"/>
    <w:tmpl w:val="421EEDA4"/>
    <w:lvl w:ilvl="0" w:tplc="0809000F">
      <w:start w:val="1"/>
      <w:numFmt w:val="decimal"/>
      <w:lvlText w:val="%1."/>
      <w:lvlJc w:val="left"/>
      <w:pPr>
        <w:ind w:left="360" w:hanging="360"/>
      </w:pPr>
      <w:rPr>
        <w:b w:val="0"/>
        <w:i w:val="0"/>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7BB21E1"/>
    <w:multiLevelType w:val="hybridMultilevel"/>
    <w:tmpl w:val="D4BEF50E"/>
    <w:lvl w:ilvl="0" w:tplc="3009000D">
      <w:start w:val="1"/>
      <w:numFmt w:val="bullet"/>
      <w:lvlText w:val=""/>
      <w:lvlJc w:val="left"/>
      <w:pPr>
        <w:ind w:left="720" w:hanging="360"/>
      </w:pPr>
      <w:rPr>
        <w:rFonts w:ascii="Wingdings" w:hAnsi="Wingding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4B140993"/>
    <w:multiLevelType w:val="hybridMultilevel"/>
    <w:tmpl w:val="64C2E1B2"/>
    <w:lvl w:ilvl="0" w:tplc="3009000F">
      <w:start w:val="1"/>
      <w:numFmt w:val="decimal"/>
      <w:lvlText w:val="%1."/>
      <w:lvlJc w:val="left"/>
      <w:pPr>
        <w:ind w:left="360" w:hanging="360"/>
      </w:pPr>
      <w:rPr>
        <w:rFonts w:hint="default"/>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3" w15:restartNumberingAfterBreak="0">
    <w:nsid w:val="4D0B6501"/>
    <w:multiLevelType w:val="hybridMultilevel"/>
    <w:tmpl w:val="383E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907CC2"/>
    <w:multiLevelType w:val="hybridMultilevel"/>
    <w:tmpl w:val="D102CBCC"/>
    <w:lvl w:ilvl="0" w:tplc="01E62C1C">
      <w:start w:val="1"/>
      <w:numFmt w:val="bullet"/>
      <w:lvlText w:val="•"/>
      <w:lvlJc w:val="left"/>
      <w:pPr>
        <w:tabs>
          <w:tab w:val="num" w:pos="720"/>
        </w:tabs>
        <w:ind w:left="720" w:hanging="360"/>
      </w:pPr>
      <w:rPr>
        <w:rFonts w:ascii="Arial" w:hAnsi="Arial" w:hint="default"/>
      </w:rPr>
    </w:lvl>
    <w:lvl w:ilvl="1" w:tplc="872ACECA" w:tentative="1">
      <w:start w:val="1"/>
      <w:numFmt w:val="bullet"/>
      <w:lvlText w:val="•"/>
      <w:lvlJc w:val="left"/>
      <w:pPr>
        <w:tabs>
          <w:tab w:val="num" w:pos="1440"/>
        </w:tabs>
        <w:ind w:left="1440" w:hanging="360"/>
      </w:pPr>
      <w:rPr>
        <w:rFonts w:ascii="Arial" w:hAnsi="Arial" w:hint="default"/>
      </w:rPr>
    </w:lvl>
    <w:lvl w:ilvl="2" w:tplc="B0DC759C" w:tentative="1">
      <w:start w:val="1"/>
      <w:numFmt w:val="bullet"/>
      <w:lvlText w:val="•"/>
      <w:lvlJc w:val="left"/>
      <w:pPr>
        <w:tabs>
          <w:tab w:val="num" w:pos="2160"/>
        </w:tabs>
        <w:ind w:left="2160" w:hanging="360"/>
      </w:pPr>
      <w:rPr>
        <w:rFonts w:ascii="Arial" w:hAnsi="Arial" w:hint="default"/>
      </w:rPr>
    </w:lvl>
    <w:lvl w:ilvl="3" w:tplc="7CC8842E" w:tentative="1">
      <w:start w:val="1"/>
      <w:numFmt w:val="bullet"/>
      <w:lvlText w:val="•"/>
      <w:lvlJc w:val="left"/>
      <w:pPr>
        <w:tabs>
          <w:tab w:val="num" w:pos="2880"/>
        </w:tabs>
        <w:ind w:left="2880" w:hanging="360"/>
      </w:pPr>
      <w:rPr>
        <w:rFonts w:ascii="Arial" w:hAnsi="Arial" w:hint="default"/>
      </w:rPr>
    </w:lvl>
    <w:lvl w:ilvl="4" w:tplc="5722161A" w:tentative="1">
      <w:start w:val="1"/>
      <w:numFmt w:val="bullet"/>
      <w:lvlText w:val="•"/>
      <w:lvlJc w:val="left"/>
      <w:pPr>
        <w:tabs>
          <w:tab w:val="num" w:pos="3600"/>
        </w:tabs>
        <w:ind w:left="3600" w:hanging="360"/>
      </w:pPr>
      <w:rPr>
        <w:rFonts w:ascii="Arial" w:hAnsi="Arial" w:hint="default"/>
      </w:rPr>
    </w:lvl>
    <w:lvl w:ilvl="5" w:tplc="287EC36C" w:tentative="1">
      <w:start w:val="1"/>
      <w:numFmt w:val="bullet"/>
      <w:lvlText w:val="•"/>
      <w:lvlJc w:val="left"/>
      <w:pPr>
        <w:tabs>
          <w:tab w:val="num" w:pos="4320"/>
        </w:tabs>
        <w:ind w:left="4320" w:hanging="360"/>
      </w:pPr>
      <w:rPr>
        <w:rFonts w:ascii="Arial" w:hAnsi="Arial" w:hint="default"/>
      </w:rPr>
    </w:lvl>
    <w:lvl w:ilvl="6" w:tplc="7E3E87F2" w:tentative="1">
      <w:start w:val="1"/>
      <w:numFmt w:val="bullet"/>
      <w:lvlText w:val="•"/>
      <w:lvlJc w:val="left"/>
      <w:pPr>
        <w:tabs>
          <w:tab w:val="num" w:pos="5040"/>
        </w:tabs>
        <w:ind w:left="5040" w:hanging="360"/>
      </w:pPr>
      <w:rPr>
        <w:rFonts w:ascii="Arial" w:hAnsi="Arial" w:hint="default"/>
      </w:rPr>
    </w:lvl>
    <w:lvl w:ilvl="7" w:tplc="E6969498" w:tentative="1">
      <w:start w:val="1"/>
      <w:numFmt w:val="bullet"/>
      <w:lvlText w:val="•"/>
      <w:lvlJc w:val="left"/>
      <w:pPr>
        <w:tabs>
          <w:tab w:val="num" w:pos="5760"/>
        </w:tabs>
        <w:ind w:left="5760" w:hanging="360"/>
      </w:pPr>
      <w:rPr>
        <w:rFonts w:ascii="Arial" w:hAnsi="Arial" w:hint="default"/>
      </w:rPr>
    </w:lvl>
    <w:lvl w:ilvl="8" w:tplc="15885BF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FF47CF5"/>
    <w:multiLevelType w:val="hybridMultilevel"/>
    <w:tmpl w:val="51989218"/>
    <w:lvl w:ilvl="0" w:tplc="EDA2EC0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46B96"/>
    <w:multiLevelType w:val="hybridMultilevel"/>
    <w:tmpl w:val="50485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47B49CD"/>
    <w:multiLevelType w:val="hybridMultilevel"/>
    <w:tmpl w:val="4F443F38"/>
    <w:lvl w:ilvl="0" w:tplc="A3E41282">
      <w:start w:val="1"/>
      <w:numFmt w:val="decimal"/>
      <w:lvlText w:val="%1."/>
      <w:lvlJc w:val="left"/>
      <w:pPr>
        <w:ind w:left="360" w:hanging="360"/>
      </w:pPr>
      <w:rPr>
        <w:b w:val="0"/>
        <w:i w:val="0"/>
        <w:sz w:val="24"/>
        <w:szCs w:val="24"/>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8" w15:restartNumberingAfterBreak="0">
    <w:nsid w:val="553C21DB"/>
    <w:multiLevelType w:val="hybridMultilevel"/>
    <w:tmpl w:val="EE0606B2"/>
    <w:lvl w:ilvl="0" w:tplc="D82C9026">
      <w:start w:val="1"/>
      <w:numFmt w:val="decimal"/>
      <w:lvlText w:val="%1."/>
      <w:lvlJc w:val="left"/>
      <w:pPr>
        <w:ind w:left="450" w:hanging="360"/>
      </w:pPr>
      <w:rPr>
        <w:rFonts w:ascii="Tahoma" w:hAnsi="Tahoma" w:cs="Tahoma" w:hint="default"/>
        <w:b w:val="0"/>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0E4A09"/>
    <w:multiLevelType w:val="hybridMultilevel"/>
    <w:tmpl w:val="267820E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6AB91421"/>
    <w:multiLevelType w:val="hybridMultilevel"/>
    <w:tmpl w:val="AA282DEC"/>
    <w:lvl w:ilvl="0" w:tplc="04090001">
      <w:start w:val="1"/>
      <w:numFmt w:val="bullet"/>
      <w:lvlText w:val=""/>
      <w:lvlJc w:val="left"/>
      <w:pPr>
        <w:ind w:left="720" w:hanging="360"/>
      </w:pPr>
      <w:rPr>
        <w:rFonts w:ascii="Symbol" w:hAnsi="Symbol"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15:restartNumberingAfterBreak="0">
    <w:nsid w:val="6DCE425C"/>
    <w:multiLevelType w:val="hybridMultilevel"/>
    <w:tmpl w:val="A21216F4"/>
    <w:lvl w:ilvl="0" w:tplc="F4EA781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7B1593"/>
    <w:multiLevelType w:val="hybridMultilevel"/>
    <w:tmpl w:val="B282BF08"/>
    <w:lvl w:ilvl="0" w:tplc="30090001">
      <w:start w:val="1"/>
      <w:numFmt w:val="bullet"/>
      <w:lvlText w:val=""/>
      <w:lvlJc w:val="left"/>
      <w:pPr>
        <w:ind w:left="1519" w:hanging="360"/>
      </w:pPr>
      <w:rPr>
        <w:rFonts w:ascii="Symbol" w:hAnsi="Symbol" w:hint="default"/>
      </w:rPr>
    </w:lvl>
    <w:lvl w:ilvl="1" w:tplc="30090003" w:tentative="1">
      <w:start w:val="1"/>
      <w:numFmt w:val="bullet"/>
      <w:lvlText w:val="o"/>
      <w:lvlJc w:val="left"/>
      <w:pPr>
        <w:ind w:left="2239" w:hanging="360"/>
      </w:pPr>
      <w:rPr>
        <w:rFonts w:ascii="Courier New" w:hAnsi="Courier New" w:cs="Courier New" w:hint="default"/>
      </w:rPr>
    </w:lvl>
    <w:lvl w:ilvl="2" w:tplc="30090005" w:tentative="1">
      <w:start w:val="1"/>
      <w:numFmt w:val="bullet"/>
      <w:lvlText w:val=""/>
      <w:lvlJc w:val="left"/>
      <w:pPr>
        <w:ind w:left="2959" w:hanging="360"/>
      </w:pPr>
      <w:rPr>
        <w:rFonts w:ascii="Wingdings" w:hAnsi="Wingdings" w:hint="default"/>
      </w:rPr>
    </w:lvl>
    <w:lvl w:ilvl="3" w:tplc="30090001" w:tentative="1">
      <w:start w:val="1"/>
      <w:numFmt w:val="bullet"/>
      <w:lvlText w:val=""/>
      <w:lvlJc w:val="left"/>
      <w:pPr>
        <w:ind w:left="3679" w:hanging="360"/>
      </w:pPr>
      <w:rPr>
        <w:rFonts w:ascii="Symbol" w:hAnsi="Symbol" w:hint="default"/>
      </w:rPr>
    </w:lvl>
    <w:lvl w:ilvl="4" w:tplc="30090003" w:tentative="1">
      <w:start w:val="1"/>
      <w:numFmt w:val="bullet"/>
      <w:lvlText w:val="o"/>
      <w:lvlJc w:val="left"/>
      <w:pPr>
        <w:ind w:left="4399" w:hanging="360"/>
      </w:pPr>
      <w:rPr>
        <w:rFonts w:ascii="Courier New" w:hAnsi="Courier New" w:cs="Courier New" w:hint="default"/>
      </w:rPr>
    </w:lvl>
    <w:lvl w:ilvl="5" w:tplc="30090005" w:tentative="1">
      <w:start w:val="1"/>
      <w:numFmt w:val="bullet"/>
      <w:lvlText w:val=""/>
      <w:lvlJc w:val="left"/>
      <w:pPr>
        <w:ind w:left="5119" w:hanging="360"/>
      </w:pPr>
      <w:rPr>
        <w:rFonts w:ascii="Wingdings" w:hAnsi="Wingdings" w:hint="default"/>
      </w:rPr>
    </w:lvl>
    <w:lvl w:ilvl="6" w:tplc="30090001" w:tentative="1">
      <w:start w:val="1"/>
      <w:numFmt w:val="bullet"/>
      <w:lvlText w:val=""/>
      <w:lvlJc w:val="left"/>
      <w:pPr>
        <w:ind w:left="5839" w:hanging="360"/>
      </w:pPr>
      <w:rPr>
        <w:rFonts w:ascii="Symbol" w:hAnsi="Symbol" w:hint="default"/>
      </w:rPr>
    </w:lvl>
    <w:lvl w:ilvl="7" w:tplc="30090003" w:tentative="1">
      <w:start w:val="1"/>
      <w:numFmt w:val="bullet"/>
      <w:lvlText w:val="o"/>
      <w:lvlJc w:val="left"/>
      <w:pPr>
        <w:ind w:left="6559" w:hanging="360"/>
      </w:pPr>
      <w:rPr>
        <w:rFonts w:ascii="Courier New" w:hAnsi="Courier New" w:cs="Courier New" w:hint="default"/>
      </w:rPr>
    </w:lvl>
    <w:lvl w:ilvl="8" w:tplc="30090005" w:tentative="1">
      <w:start w:val="1"/>
      <w:numFmt w:val="bullet"/>
      <w:lvlText w:val=""/>
      <w:lvlJc w:val="left"/>
      <w:pPr>
        <w:ind w:left="7279" w:hanging="360"/>
      </w:pPr>
      <w:rPr>
        <w:rFonts w:ascii="Wingdings" w:hAnsi="Wingdings" w:hint="default"/>
      </w:rPr>
    </w:lvl>
  </w:abstractNum>
  <w:abstractNum w:abstractNumId="33" w15:restartNumberingAfterBreak="0">
    <w:nsid w:val="773D2604"/>
    <w:multiLevelType w:val="hybridMultilevel"/>
    <w:tmpl w:val="5C521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DC77D9"/>
    <w:multiLevelType w:val="hybridMultilevel"/>
    <w:tmpl w:val="860ABF0C"/>
    <w:lvl w:ilvl="0" w:tplc="C29A04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571B2F"/>
    <w:multiLevelType w:val="hybridMultilevel"/>
    <w:tmpl w:val="0228F15A"/>
    <w:lvl w:ilvl="0" w:tplc="3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DE71B4"/>
    <w:multiLevelType w:val="hybridMultilevel"/>
    <w:tmpl w:val="3A8687C2"/>
    <w:lvl w:ilvl="0" w:tplc="97D2D64A">
      <w:start w:val="1"/>
      <w:numFmt w:val="decimal"/>
      <w:lvlText w:val="%1."/>
      <w:lvlJc w:val="left"/>
      <w:pPr>
        <w:ind w:left="786" w:hanging="360"/>
      </w:pPr>
      <w:rPr>
        <w:rFonts w:ascii="Tahoma" w:hAnsi="Tahoma" w:cs="Tahoma" w:hint="default"/>
        <w:b w:val="0"/>
        <w:i w:val="0"/>
        <w:sz w:val="24"/>
        <w:szCs w:val="24"/>
      </w:rPr>
    </w:lvl>
    <w:lvl w:ilvl="1" w:tplc="30090001">
      <w:start w:val="1"/>
      <w:numFmt w:val="bullet"/>
      <w:lvlText w:val=""/>
      <w:lvlJc w:val="left"/>
      <w:pPr>
        <w:ind w:left="1080" w:hanging="360"/>
      </w:pPr>
      <w:rPr>
        <w:rFonts w:ascii="Symbol" w:hAnsi="Symbol" w:hint="default"/>
      </w:rPr>
    </w:lvl>
    <w:lvl w:ilvl="2" w:tplc="3009000B">
      <w:start w:val="1"/>
      <w:numFmt w:val="bullet"/>
      <w:lvlText w:val=""/>
      <w:lvlJc w:val="left"/>
      <w:pPr>
        <w:ind w:left="1800" w:hanging="180"/>
      </w:pPr>
      <w:rPr>
        <w:rFonts w:ascii="Wingdings" w:hAnsi="Wingdings" w:hint="default"/>
      </w:rPr>
    </w:lvl>
    <w:lvl w:ilvl="3" w:tplc="6340067C">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8"/>
  </w:num>
  <w:num w:numId="5">
    <w:abstractNumId w:val="25"/>
  </w:num>
  <w:num w:numId="6">
    <w:abstractNumId w:val="24"/>
  </w:num>
  <w:num w:numId="7">
    <w:abstractNumId w:val="1"/>
  </w:num>
  <w:num w:numId="8">
    <w:abstractNumId w:val="28"/>
  </w:num>
  <w:num w:numId="9">
    <w:abstractNumId w:val="6"/>
  </w:num>
  <w:num w:numId="10">
    <w:abstractNumId w:val="16"/>
  </w:num>
  <w:num w:numId="11">
    <w:abstractNumId w:val="3"/>
  </w:num>
  <w:num w:numId="12">
    <w:abstractNumId w:val="35"/>
  </w:num>
  <w:num w:numId="13">
    <w:abstractNumId w:val="10"/>
  </w:num>
  <w:num w:numId="14">
    <w:abstractNumId w:val="15"/>
  </w:num>
  <w:num w:numId="15">
    <w:abstractNumId w:val="2"/>
  </w:num>
  <w:num w:numId="16">
    <w:abstractNumId w:val="7"/>
  </w:num>
  <w:num w:numId="17">
    <w:abstractNumId w:val="33"/>
  </w:num>
  <w:num w:numId="18">
    <w:abstractNumId w:val="30"/>
  </w:num>
  <w:num w:numId="19">
    <w:abstractNumId w:val="22"/>
  </w:num>
  <w:num w:numId="20">
    <w:abstractNumId w:val="4"/>
  </w:num>
  <w:num w:numId="21">
    <w:abstractNumId w:val="21"/>
  </w:num>
  <w:num w:numId="22">
    <w:abstractNumId w:val="14"/>
  </w:num>
  <w:num w:numId="23">
    <w:abstractNumId w:val="31"/>
  </w:num>
  <w:num w:numId="24">
    <w:abstractNumId w:val="34"/>
  </w:num>
  <w:num w:numId="25">
    <w:abstractNumId w:val="20"/>
  </w:num>
  <w:num w:numId="26">
    <w:abstractNumId w:val="32"/>
  </w:num>
  <w:num w:numId="27">
    <w:abstractNumId w:val="0"/>
  </w:num>
  <w:num w:numId="28">
    <w:abstractNumId w:val="17"/>
  </w:num>
  <w:num w:numId="29">
    <w:abstractNumId w:val="29"/>
  </w:num>
  <w:num w:numId="30">
    <w:abstractNumId w:val="27"/>
  </w:num>
  <w:num w:numId="31">
    <w:abstractNumId w:val="11"/>
  </w:num>
  <w:num w:numId="32">
    <w:abstractNumId w:val="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3"/>
  </w:num>
  <w:num w:numId="36">
    <w:abstractNumId w:val="1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C3"/>
    <w:rsid w:val="00003829"/>
    <w:rsid w:val="00004DDC"/>
    <w:rsid w:val="00007A06"/>
    <w:rsid w:val="0001020B"/>
    <w:rsid w:val="000157B8"/>
    <w:rsid w:val="00017822"/>
    <w:rsid w:val="00017D69"/>
    <w:rsid w:val="00020E38"/>
    <w:rsid w:val="00030704"/>
    <w:rsid w:val="0003393C"/>
    <w:rsid w:val="00034762"/>
    <w:rsid w:val="0004143A"/>
    <w:rsid w:val="000416D0"/>
    <w:rsid w:val="00052834"/>
    <w:rsid w:val="00054472"/>
    <w:rsid w:val="00062C18"/>
    <w:rsid w:val="0006352D"/>
    <w:rsid w:val="00080336"/>
    <w:rsid w:val="00082A1F"/>
    <w:rsid w:val="0009309C"/>
    <w:rsid w:val="000948C0"/>
    <w:rsid w:val="00097BE7"/>
    <w:rsid w:val="000A0644"/>
    <w:rsid w:val="000A3B2E"/>
    <w:rsid w:val="000B2A21"/>
    <w:rsid w:val="000B7B0B"/>
    <w:rsid w:val="000C5095"/>
    <w:rsid w:val="000C789A"/>
    <w:rsid w:val="000E5680"/>
    <w:rsid w:val="000E63FA"/>
    <w:rsid w:val="000E723E"/>
    <w:rsid w:val="00107937"/>
    <w:rsid w:val="001161D8"/>
    <w:rsid w:val="001355FE"/>
    <w:rsid w:val="00135977"/>
    <w:rsid w:val="00145231"/>
    <w:rsid w:val="00153539"/>
    <w:rsid w:val="00160FB5"/>
    <w:rsid w:val="001638CA"/>
    <w:rsid w:val="00167E6D"/>
    <w:rsid w:val="00173935"/>
    <w:rsid w:val="00192AF7"/>
    <w:rsid w:val="001A6155"/>
    <w:rsid w:val="001D3979"/>
    <w:rsid w:val="001E02E0"/>
    <w:rsid w:val="001E7B75"/>
    <w:rsid w:val="001F6C12"/>
    <w:rsid w:val="001F7F44"/>
    <w:rsid w:val="00200472"/>
    <w:rsid w:val="00200522"/>
    <w:rsid w:val="00202832"/>
    <w:rsid w:val="002040C9"/>
    <w:rsid w:val="0020746D"/>
    <w:rsid w:val="00211B3C"/>
    <w:rsid w:val="00234808"/>
    <w:rsid w:val="002365CB"/>
    <w:rsid w:val="0023699A"/>
    <w:rsid w:val="0025363D"/>
    <w:rsid w:val="00257250"/>
    <w:rsid w:val="00257A0D"/>
    <w:rsid w:val="002633AB"/>
    <w:rsid w:val="002716F9"/>
    <w:rsid w:val="002776EA"/>
    <w:rsid w:val="00277DAF"/>
    <w:rsid w:val="002833A2"/>
    <w:rsid w:val="0028403B"/>
    <w:rsid w:val="00292111"/>
    <w:rsid w:val="002961FE"/>
    <w:rsid w:val="0029798E"/>
    <w:rsid w:val="002A2F72"/>
    <w:rsid w:val="002B2026"/>
    <w:rsid w:val="002B5AA6"/>
    <w:rsid w:val="002C309C"/>
    <w:rsid w:val="002C3C7D"/>
    <w:rsid w:val="002C49E5"/>
    <w:rsid w:val="002C671B"/>
    <w:rsid w:val="002D317A"/>
    <w:rsid w:val="002D3CC0"/>
    <w:rsid w:val="002D4B57"/>
    <w:rsid w:val="002D5C42"/>
    <w:rsid w:val="002D7F3A"/>
    <w:rsid w:val="002E08B1"/>
    <w:rsid w:val="002E0F60"/>
    <w:rsid w:val="002F2465"/>
    <w:rsid w:val="002F51A5"/>
    <w:rsid w:val="002F6FEF"/>
    <w:rsid w:val="003016CA"/>
    <w:rsid w:val="003035EF"/>
    <w:rsid w:val="00305805"/>
    <w:rsid w:val="00306A90"/>
    <w:rsid w:val="003100B7"/>
    <w:rsid w:val="00316BDF"/>
    <w:rsid w:val="0033397C"/>
    <w:rsid w:val="00340081"/>
    <w:rsid w:val="00346464"/>
    <w:rsid w:val="00355AFB"/>
    <w:rsid w:val="00364396"/>
    <w:rsid w:val="00367C5D"/>
    <w:rsid w:val="0037054B"/>
    <w:rsid w:val="00370569"/>
    <w:rsid w:val="00373A8C"/>
    <w:rsid w:val="003756FD"/>
    <w:rsid w:val="00391697"/>
    <w:rsid w:val="003961BC"/>
    <w:rsid w:val="00396603"/>
    <w:rsid w:val="003A576F"/>
    <w:rsid w:val="003B470F"/>
    <w:rsid w:val="003B58B7"/>
    <w:rsid w:val="003B6A40"/>
    <w:rsid w:val="003C3A4C"/>
    <w:rsid w:val="003D4192"/>
    <w:rsid w:val="003E7B8E"/>
    <w:rsid w:val="003F1B00"/>
    <w:rsid w:val="003F1F29"/>
    <w:rsid w:val="003F6F27"/>
    <w:rsid w:val="004052BB"/>
    <w:rsid w:val="004150BC"/>
    <w:rsid w:val="00420851"/>
    <w:rsid w:val="004222DD"/>
    <w:rsid w:val="00423CCD"/>
    <w:rsid w:val="0042536C"/>
    <w:rsid w:val="00425E43"/>
    <w:rsid w:val="0043610C"/>
    <w:rsid w:val="00443119"/>
    <w:rsid w:val="004515A8"/>
    <w:rsid w:val="00452766"/>
    <w:rsid w:val="0046451B"/>
    <w:rsid w:val="0046664B"/>
    <w:rsid w:val="0047053C"/>
    <w:rsid w:val="00477553"/>
    <w:rsid w:val="00477DED"/>
    <w:rsid w:val="00486A15"/>
    <w:rsid w:val="004933E1"/>
    <w:rsid w:val="004A2FC1"/>
    <w:rsid w:val="004B3DCA"/>
    <w:rsid w:val="004B5641"/>
    <w:rsid w:val="004C286F"/>
    <w:rsid w:val="004C537B"/>
    <w:rsid w:val="004D1C0B"/>
    <w:rsid w:val="004D2612"/>
    <w:rsid w:val="004D5E0C"/>
    <w:rsid w:val="0050447A"/>
    <w:rsid w:val="00521D8D"/>
    <w:rsid w:val="005237A9"/>
    <w:rsid w:val="00535615"/>
    <w:rsid w:val="0054265F"/>
    <w:rsid w:val="00542802"/>
    <w:rsid w:val="00546D7C"/>
    <w:rsid w:val="0055452B"/>
    <w:rsid w:val="00554CF5"/>
    <w:rsid w:val="00562EFC"/>
    <w:rsid w:val="005645A8"/>
    <w:rsid w:val="00566DDA"/>
    <w:rsid w:val="00571DE9"/>
    <w:rsid w:val="005763B3"/>
    <w:rsid w:val="00590892"/>
    <w:rsid w:val="00590E89"/>
    <w:rsid w:val="0059259D"/>
    <w:rsid w:val="005928C9"/>
    <w:rsid w:val="00593275"/>
    <w:rsid w:val="005A1B5C"/>
    <w:rsid w:val="005A6CD6"/>
    <w:rsid w:val="005E05F8"/>
    <w:rsid w:val="005E23E9"/>
    <w:rsid w:val="005E3611"/>
    <w:rsid w:val="005E52F3"/>
    <w:rsid w:val="005F085A"/>
    <w:rsid w:val="005F2A39"/>
    <w:rsid w:val="00601F13"/>
    <w:rsid w:val="00603AB3"/>
    <w:rsid w:val="00604E59"/>
    <w:rsid w:val="00611DA1"/>
    <w:rsid w:val="00623E40"/>
    <w:rsid w:val="0062411B"/>
    <w:rsid w:val="00625609"/>
    <w:rsid w:val="00637EE5"/>
    <w:rsid w:val="00637FDA"/>
    <w:rsid w:val="00651C1D"/>
    <w:rsid w:val="00673732"/>
    <w:rsid w:val="00675B86"/>
    <w:rsid w:val="00676BF1"/>
    <w:rsid w:val="00680B75"/>
    <w:rsid w:val="00682070"/>
    <w:rsid w:val="00695727"/>
    <w:rsid w:val="006A0FC2"/>
    <w:rsid w:val="006B3E64"/>
    <w:rsid w:val="006B49F2"/>
    <w:rsid w:val="006C7C0F"/>
    <w:rsid w:val="006D331F"/>
    <w:rsid w:val="006E1BBA"/>
    <w:rsid w:val="006E4BE8"/>
    <w:rsid w:val="006F6CCF"/>
    <w:rsid w:val="00706336"/>
    <w:rsid w:val="0070733C"/>
    <w:rsid w:val="00711155"/>
    <w:rsid w:val="00712C0F"/>
    <w:rsid w:val="0071492C"/>
    <w:rsid w:val="007168F6"/>
    <w:rsid w:val="0072299B"/>
    <w:rsid w:val="0073486C"/>
    <w:rsid w:val="00734C59"/>
    <w:rsid w:val="00737118"/>
    <w:rsid w:val="00745104"/>
    <w:rsid w:val="00750373"/>
    <w:rsid w:val="007640F9"/>
    <w:rsid w:val="007802C3"/>
    <w:rsid w:val="00782900"/>
    <w:rsid w:val="00794976"/>
    <w:rsid w:val="007A04A4"/>
    <w:rsid w:val="007A192E"/>
    <w:rsid w:val="007B1EA3"/>
    <w:rsid w:val="007B4546"/>
    <w:rsid w:val="007B5B0C"/>
    <w:rsid w:val="007C2335"/>
    <w:rsid w:val="007C6AA1"/>
    <w:rsid w:val="007D4A7D"/>
    <w:rsid w:val="007E3673"/>
    <w:rsid w:val="007E5287"/>
    <w:rsid w:val="007F13FA"/>
    <w:rsid w:val="00804701"/>
    <w:rsid w:val="0082751B"/>
    <w:rsid w:val="00827606"/>
    <w:rsid w:val="00827E4E"/>
    <w:rsid w:val="00834B8F"/>
    <w:rsid w:val="008475DC"/>
    <w:rsid w:val="00861104"/>
    <w:rsid w:val="00883BCE"/>
    <w:rsid w:val="00897142"/>
    <w:rsid w:val="008A2582"/>
    <w:rsid w:val="008C698B"/>
    <w:rsid w:val="008C7002"/>
    <w:rsid w:val="008D24D6"/>
    <w:rsid w:val="008D3F62"/>
    <w:rsid w:val="008E095D"/>
    <w:rsid w:val="008E3AB3"/>
    <w:rsid w:val="008E6C48"/>
    <w:rsid w:val="008F4C08"/>
    <w:rsid w:val="00902983"/>
    <w:rsid w:val="009144C5"/>
    <w:rsid w:val="00915976"/>
    <w:rsid w:val="009161DD"/>
    <w:rsid w:val="009178C8"/>
    <w:rsid w:val="0092124C"/>
    <w:rsid w:val="0092433D"/>
    <w:rsid w:val="00926A61"/>
    <w:rsid w:val="00927493"/>
    <w:rsid w:val="00930105"/>
    <w:rsid w:val="00936F89"/>
    <w:rsid w:val="00942344"/>
    <w:rsid w:val="0094278A"/>
    <w:rsid w:val="00943201"/>
    <w:rsid w:val="00943226"/>
    <w:rsid w:val="0096298F"/>
    <w:rsid w:val="009675FA"/>
    <w:rsid w:val="009716C8"/>
    <w:rsid w:val="00972640"/>
    <w:rsid w:val="00975142"/>
    <w:rsid w:val="00993FF6"/>
    <w:rsid w:val="009A146E"/>
    <w:rsid w:val="009B1AEA"/>
    <w:rsid w:val="009D1DE5"/>
    <w:rsid w:val="009D6949"/>
    <w:rsid w:val="009E17DA"/>
    <w:rsid w:val="009F5748"/>
    <w:rsid w:val="00A0497C"/>
    <w:rsid w:val="00A06722"/>
    <w:rsid w:val="00A12064"/>
    <w:rsid w:val="00A14B02"/>
    <w:rsid w:val="00A20BE0"/>
    <w:rsid w:val="00A235F1"/>
    <w:rsid w:val="00A24794"/>
    <w:rsid w:val="00A266D2"/>
    <w:rsid w:val="00A32393"/>
    <w:rsid w:val="00A3599B"/>
    <w:rsid w:val="00A363E8"/>
    <w:rsid w:val="00A52520"/>
    <w:rsid w:val="00A54F1D"/>
    <w:rsid w:val="00A62F55"/>
    <w:rsid w:val="00A740F4"/>
    <w:rsid w:val="00A77BF2"/>
    <w:rsid w:val="00A8110C"/>
    <w:rsid w:val="00A8512C"/>
    <w:rsid w:val="00A86C46"/>
    <w:rsid w:val="00A87AEC"/>
    <w:rsid w:val="00A92E3E"/>
    <w:rsid w:val="00A974D1"/>
    <w:rsid w:val="00A978D6"/>
    <w:rsid w:val="00AA3348"/>
    <w:rsid w:val="00AA4384"/>
    <w:rsid w:val="00AA7267"/>
    <w:rsid w:val="00AA798A"/>
    <w:rsid w:val="00AB2010"/>
    <w:rsid w:val="00AB286E"/>
    <w:rsid w:val="00AC716B"/>
    <w:rsid w:val="00AD4679"/>
    <w:rsid w:val="00AD5D77"/>
    <w:rsid w:val="00AD7BCC"/>
    <w:rsid w:val="00AE4FA0"/>
    <w:rsid w:val="00AE659E"/>
    <w:rsid w:val="00AF07E9"/>
    <w:rsid w:val="00AF3E45"/>
    <w:rsid w:val="00AF4141"/>
    <w:rsid w:val="00AF650E"/>
    <w:rsid w:val="00B07BCA"/>
    <w:rsid w:val="00B1253C"/>
    <w:rsid w:val="00B139DF"/>
    <w:rsid w:val="00B14DF2"/>
    <w:rsid w:val="00B1518C"/>
    <w:rsid w:val="00B16E2D"/>
    <w:rsid w:val="00B17717"/>
    <w:rsid w:val="00B209BE"/>
    <w:rsid w:val="00B35255"/>
    <w:rsid w:val="00B367CC"/>
    <w:rsid w:val="00B416C5"/>
    <w:rsid w:val="00B41E3C"/>
    <w:rsid w:val="00B429B7"/>
    <w:rsid w:val="00B44BD3"/>
    <w:rsid w:val="00B44CB2"/>
    <w:rsid w:val="00B529B4"/>
    <w:rsid w:val="00B56680"/>
    <w:rsid w:val="00B6103C"/>
    <w:rsid w:val="00B616E2"/>
    <w:rsid w:val="00B61EA6"/>
    <w:rsid w:val="00B709E0"/>
    <w:rsid w:val="00B9179B"/>
    <w:rsid w:val="00B95A80"/>
    <w:rsid w:val="00BA0F10"/>
    <w:rsid w:val="00BA2B2A"/>
    <w:rsid w:val="00BA42BF"/>
    <w:rsid w:val="00BA61EE"/>
    <w:rsid w:val="00BB0034"/>
    <w:rsid w:val="00BB080E"/>
    <w:rsid w:val="00BC2F1B"/>
    <w:rsid w:val="00BC70D6"/>
    <w:rsid w:val="00BD006C"/>
    <w:rsid w:val="00BD1E36"/>
    <w:rsid w:val="00BE7998"/>
    <w:rsid w:val="00C11427"/>
    <w:rsid w:val="00C153E7"/>
    <w:rsid w:val="00C15CF9"/>
    <w:rsid w:val="00C163A0"/>
    <w:rsid w:val="00C237B6"/>
    <w:rsid w:val="00C26C56"/>
    <w:rsid w:val="00C2781F"/>
    <w:rsid w:val="00C3288F"/>
    <w:rsid w:val="00C35E73"/>
    <w:rsid w:val="00C4628D"/>
    <w:rsid w:val="00C52540"/>
    <w:rsid w:val="00C53BEF"/>
    <w:rsid w:val="00C6358E"/>
    <w:rsid w:val="00C67D6E"/>
    <w:rsid w:val="00C7590B"/>
    <w:rsid w:val="00C96AA3"/>
    <w:rsid w:val="00C97810"/>
    <w:rsid w:val="00CA6A0E"/>
    <w:rsid w:val="00CB2FBE"/>
    <w:rsid w:val="00CD19EC"/>
    <w:rsid w:val="00CD2B56"/>
    <w:rsid w:val="00CD2E3A"/>
    <w:rsid w:val="00CD70FF"/>
    <w:rsid w:val="00CE0AF2"/>
    <w:rsid w:val="00CE170E"/>
    <w:rsid w:val="00CE23D3"/>
    <w:rsid w:val="00CE26F7"/>
    <w:rsid w:val="00CF4D4C"/>
    <w:rsid w:val="00D02798"/>
    <w:rsid w:val="00D04FEC"/>
    <w:rsid w:val="00D10830"/>
    <w:rsid w:val="00D15462"/>
    <w:rsid w:val="00D17596"/>
    <w:rsid w:val="00D207C8"/>
    <w:rsid w:val="00D25214"/>
    <w:rsid w:val="00D36EA9"/>
    <w:rsid w:val="00D426FC"/>
    <w:rsid w:val="00D44F0A"/>
    <w:rsid w:val="00D46BE4"/>
    <w:rsid w:val="00D50BD8"/>
    <w:rsid w:val="00D640F2"/>
    <w:rsid w:val="00D732EE"/>
    <w:rsid w:val="00D760E0"/>
    <w:rsid w:val="00D864F3"/>
    <w:rsid w:val="00DA1E86"/>
    <w:rsid w:val="00DB2EDF"/>
    <w:rsid w:val="00DC265B"/>
    <w:rsid w:val="00DC5B2E"/>
    <w:rsid w:val="00DD14AB"/>
    <w:rsid w:val="00DD540C"/>
    <w:rsid w:val="00DD68CC"/>
    <w:rsid w:val="00DE3F99"/>
    <w:rsid w:val="00DF0D15"/>
    <w:rsid w:val="00DF2355"/>
    <w:rsid w:val="00DF4D0B"/>
    <w:rsid w:val="00E05985"/>
    <w:rsid w:val="00E05A83"/>
    <w:rsid w:val="00E06F68"/>
    <w:rsid w:val="00E14B3E"/>
    <w:rsid w:val="00E21DAA"/>
    <w:rsid w:val="00E25D1F"/>
    <w:rsid w:val="00E261E1"/>
    <w:rsid w:val="00E33372"/>
    <w:rsid w:val="00E50EFC"/>
    <w:rsid w:val="00E53159"/>
    <w:rsid w:val="00E5651C"/>
    <w:rsid w:val="00E568C4"/>
    <w:rsid w:val="00E57812"/>
    <w:rsid w:val="00E61712"/>
    <w:rsid w:val="00E67FB3"/>
    <w:rsid w:val="00E73121"/>
    <w:rsid w:val="00E7388E"/>
    <w:rsid w:val="00E85BAF"/>
    <w:rsid w:val="00E87059"/>
    <w:rsid w:val="00EA70E2"/>
    <w:rsid w:val="00EB2531"/>
    <w:rsid w:val="00EC164D"/>
    <w:rsid w:val="00ED10FA"/>
    <w:rsid w:val="00ED4111"/>
    <w:rsid w:val="00ED49E7"/>
    <w:rsid w:val="00ED572D"/>
    <w:rsid w:val="00EE17E3"/>
    <w:rsid w:val="00EE5C2C"/>
    <w:rsid w:val="00EF1645"/>
    <w:rsid w:val="00F10F67"/>
    <w:rsid w:val="00F143F0"/>
    <w:rsid w:val="00F14C24"/>
    <w:rsid w:val="00F171A7"/>
    <w:rsid w:val="00F234C1"/>
    <w:rsid w:val="00F247B6"/>
    <w:rsid w:val="00F321B7"/>
    <w:rsid w:val="00F36C25"/>
    <w:rsid w:val="00F4383E"/>
    <w:rsid w:val="00F50971"/>
    <w:rsid w:val="00F51055"/>
    <w:rsid w:val="00F53413"/>
    <w:rsid w:val="00F5350D"/>
    <w:rsid w:val="00F57A0E"/>
    <w:rsid w:val="00F61740"/>
    <w:rsid w:val="00F77B88"/>
    <w:rsid w:val="00F87903"/>
    <w:rsid w:val="00F91E9F"/>
    <w:rsid w:val="00F94A88"/>
    <w:rsid w:val="00F95800"/>
    <w:rsid w:val="00F97BCC"/>
    <w:rsid w:val="00FB5234"/>
    <w:rsid w:val="00FB553C"/>
    <w:rsid w:val="00FC0E7B"/>
    <w:rsid w:val="00FC5418"/>
    <w:rsid w:val="00FC6132"/>
    <w:rsid w:val="00FD2678"/>
    <w:rsid w:val="00FD2A01"/>
    <w:rsid w:val="00FD5884"/>
    <w:rsid w:val="00FD7BA5"/>
    <w:rsid w:val="00FE6950"/>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17A7F-EAFC-4B59-BAAB-BAD2E068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C3"/>
    <w:pPr>
      <w:spacing w:after="160" w:line="259" w:lineRule="auto"/>
    </w:pPr>
  </w:style>
  <w:style w:type="paragraph" w:styleId="Heading1">
    <w:name w:val="heading 1"/>
    <w:basedOn w:val="Normal"/>
    <w:next w:val="Normal"/>
    <w:link w:val="Heading1Char"/>
    <w:uiPriority w:val="9"/>
    <w:qFormat/>
    <w:rsid w:val="00AE65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309C"/>
    <w:pPr>
      <w:keepNext/>
      <w:spacing w:after="0" w:line="360" w:lineRule="auto"/>
      <w:outlineLvl w:val="1"/>
    </w:pPr>
    <w:rPr>
      <w:rFonts w:ascii="Tahoma" w:eastAsia="Times New Roman" w:hAnsi="Tahoma" w:cs="Times New Roman"/>
      <w:b/>
      <w:bCs/>
      <w:iCs/>
      <w:sz w:val="28"/>
      <w:szCs w:val="28"/>
      <w:lang w:val="x-none" w:eastAsia="x-none"/>
    </w:rPr>
  </w:style>
  <w:style w:type="paragraph" w:styleId="Heading3">
    <w:name w:val="heading 3"/>
    <w:basedOn w:val="Normal"/>
    <w:next w:val="Normal"/>
    <w:link w:val="Heading3Char"/>
    <w:uiPriority w:val="9"/>
    <w:unhideWhenUsed/>
    <w:qFormat/>
    <w:rsid w:val="00AE65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B25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 (numbered (a)),References,WB List Paragraph,Figures,List Bullet-OpsManual,Title Style 1,List Paragraph nowy,Liste 1,ANNEX,List Paragraph1,List Paragraph2,Table of contents numbered,List Bulet,Use Case List Paragraph"/>
    <w:basedOn w:val="Normal"/>
    <w:link w:val="ListParagraphChar"/>
    <w:uiPriority w:val="34"/>
    <w:qFormat/>
    <w:rsid w:val="007802C3"/>
    <w:pPr>
      <w:spacing w:after="200" w:line="276" w:lineRule="auto"/>
      <w:ind w:left="720"/>
      <w:contextualSpacing/>
    </w:pPr>
    <w:rPr>
      <w:rFonts w:ascii="Calibri" w:eastAsia="Calibri" w:hAnsi="Calibri" w:cs="Times New Roman"/>
      <w:lang w:val="en-ZW"/>
    </w:rPr>
  </w:style>
  <w:style w:type="paragraph" w:styleId="NoSpacing">
    <w:name w:val="No Spacing"/>
    <w:uiPriority w:val="1"/>
    <w:qFormat/>
    <w:rsid w:val="007802C3"/>
    <w:pPr>
      <w:spacing w:after="0" w:line="240" w:lineRule="auto"/>
    </w:pPr>
    <w:rPr>
      <w:rFonts w:ascii="Calibri" w:eastAsia="Calibri" w:hAnsi="Calibri" w:cs="Times New Roman"/>
      <w:lang w:val="en-ZW"/>
    </w:rPr>
  </w:style>
  <w:style w:type="character" w:customStyle="1" w:styleId="ListParagraphChar">
    <w:name w:val="List Paragraph Char"/>
    <w:aliases w:val="Bullets Char,List Paragraph (numbered (a)) Char,References Char,WB List Paragraph Char,Figures Char,List Bullet-OpsManual Char,Title Style 1 Char,List Paragraph nowy Char,Liste 1 Char,ANNEX Char,List Paragraph1 Char,List Bulet Char"/>
    <w:link w:val="ListParagraph"/>
    <w:uiPriority w:val="34"/>
    <w:qFormat/>
    <w:rsid w:val="007802C3"/>
    <w:rPr>
      <w:rFonts w:ascii="Calibri" w:eastAsia="Calibri" w:hAnsi="Calibri" w:cs="Times New Roman"/>
      <w:lang w:val="en-ZW"/>
    </w:rPr>
  </w:style>
  <w:style w:type="paragraph" w:styleId="BalloonText">
    <w:name w:val="Balloon Text"/>
    <w:basedOn w:val="Normal"/>
    <w:link w:val="BalloonTextChar"/>
    <w:uiPriority w:val="99"/>
    <w:semiHidden/>
    <w:unhideWhenUsed/>
    <w:rsid w:val="00780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2C3"/>
    <w:rPr>
      <w:rFonts w:ascii="Tahoma" w:hAnsi="Tahoma" w:cs="Tahoma"/>
      <w:sz w:val="16"/>
      <w:szCs w:val="16"/>
    </w:rPr>
  </w:style>
  <w:style w:type="table" w:customStyle="1" w:styleId="GridTable1Light1">
    <w:name w:val="Grid Table 1 Light1"/>
    <w:basedOn w:val="TableNormal"/>
    <w:uiPriority w:val="46"/>
    <w:rsid w:val="00355A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2C309C"/>
    <w:rPr>
      <w:rFonts w:ascii="Tahoma" w:eastAsia="Times New Roman" w:hAnsi="Tahoma" w:cs="Times New Roman"/>
      <w:b/>
      <w:bCs/>
      <w:iCs/>
      <w:sz w:val="28"/>
      <w:szCs w:val="28"/>
      <w:lang w:val="x-none" w:eastAsia="x-none"/>
    </w:rPr>
  </w:style>
  <w:style w:type="table" w:customStyle="1" w:styleId="GridTable4-Accent51">
    <w:name w:val="Grid Table 4 - Accent 51"/>
    <w:basedOn w:val="TableNormal"/>
    <w:uiPriority w:val="49"/>
    <w:rsid w:val="002C309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aption">
    <w:name w:val="caption"/>
    <w:basedOn w:val="Normal"/>
    <w:next w:val="Normal"/>
    <w:uiPriority w:val="35"/>
    <w:unhideWhenUsed/>
    <w:qFormat/>
    <w:rsid w:val="00BA0F10"/>
    <w:pPr>
      <w:spacing w:after="200" w:line="240" w:lineRule="auto"/>
    </w:pPr>
    <w:rPr>
      <w:i/>
      <w:iCs/>
      <w:color w:val="1F497D" w:themeColor="text2"/>
      <w:sz w:val="24"/>
      <w:szCs w:val="18"/>
    </w:rPr>
  </w:style>
  <w:style w:type="table" w:styleId="LightList-Accent1">
    <w:name w:val="Light List Accent 1"/>
    <w:basedOn w:val="TableNormal"/>
    <w:uiPriority w:val="61"/>
    <w:rsid w:val="00BA0F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160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FB5"/>
  </w:style>
  <w:style w:type="paragraph" w:styleId="Footer">
    <w:name w:val="footer"/>
    <w:basedOn w:val="Normal"/>
    <w:link w:val="FooterChar"/>
    <w:uiPriority w:val="99"/>
    <w:unhideWhenUsed/>
    <w:rsid w:val="00160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FB5"/>
  </w:style>
  <w:style w:type="table" w:styleId="TableGrid">
    <w:name w:val="Table Grid"/>
    <w:basedOn w:val="TableNormal"/>
    <w:uiPriority w:val="39"/>
    <w:rsid w:val="00B07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07BC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AE659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AE659E"/>
    <w:rPr>
      <w:rFonts w:asciiTheme="majorHAnsi" w:eastAsiaTheme="majorEastAsia" w:hAnsiTheme="majorHAnsi" w:cstheme="majorBidi"/>
      <w:color w:val="243F60" w:themeColor="accent1" w:themeShade="7F"/>
      <w:sz w:val="24"/>
      <w:szCs w:val="24"/>
    </w:rPr>
  </w:style>
  <w:style w:type="table" w:customStyle="1" w:styleId="GridTable4-Accent12">
    <w:name w:val="Grid Table 4 - Accent 12"/>
    <w:basedOn w:val="TableNormal"/>
    <w:uiPriority w:val="49"/>
    <w:rsid w:val="00AE659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Numbering">
    <w:name w:val="Paragraph Numbering"/>
    <w:basedOn w:val="Normal"/>
    <w:link w:val="ParagraphNumberingChar"/>
    <w:qFormat/>
    <w:rsid w:val="00AE659E"/>
    <w:pPr>
      <w:numPr>
        <w:numId w:val="9"/>
      </w:numPr>
      <w:spacing w:after="240" w:line="264" w:lineRule="auto"/>
    </w:pPr>
    <w:rPr>
      <w:rFonts w:ascii="Times New Roman" w:eastAsia="MS Mincho" w:hAnsi="Times New Roman" w:cs="Times New Roman"/>
      <w:sz w:val="24"/>
      <w:szCs w:val="24"/>
      <w:lang w:val="en-GB"/>
    </w:rPr>
  </w:style>
  <w:style w:type="character" w:customStyle="1" w:styleId="ParagraphNumberingChar">
    <w:name w:val="Paragraph Numbering Char"/>
    <w:link w:val="ParagraphNumbering"/>
    <w:locked/>
    <w:rsid w:val="00AE659E"/>
    <w:rPr>
      <w:rFonts w:ascii="Times New Roman" w:eastAsia="MS Mincho" w:hAnsi="Times New Roman" w:cs="Times New Roman"/>
      <w:sz w:val="24"/>
      <w:szCs w:val="24"/>
      <w:lang w:val="en-GB"/>
    </w:rPr>
  </w:style>
  <w:style w:type="table" w:styleId="GridTable4-Accent5">
    <w:name w:val="Grid Table 4 Accent 5"/>
    <w:basedOn w:val="TableNormal"/>
    <w:uiPriority w:val="49"/>
    <w:rsid w:val="00AE659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uiPriority w:val="99"/>
    <w:semiHidden/>
    <w:unhideWhenUsed/>
    <w:rsid w:val="00AE65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59E"/>
    <w:rPr>
      <w:sz w:val="20"/>
      <w:szCs w:val="20"/>
    </w:rPr>
  </w:style>
  <w:style w:type="character" w:styleId="FootnoteReference">
    <w:name w:val="footnote reference"/>
    <w:basedOn w:val="DefaultParagraphFont"/>
    <w:uiPriority w:val="99"/>
    <w:semiHidden/>
    <w:unhideWhenUsed/>
    <w:rsid w:val="00AE659E"/>
    <w:rPr>
      <w:vertAlign w:val="superscript"/>
    </w:rPr>
  </w:style>
  <w:style w:type="table" w:styleId="GridTable6Colorful-Accent1">
    <w:name w:val="Grid Table 6 Colorful Accent 1"/>
    <w:basedOn w:val="TableNormal"/>
    <w:uiPriority w:val="51"/>
    <w:rsid w:val="00C35E73"/>
    <w:pPr>
      <w:spacing w:after="0" w:line="240" w:lineRule="auto"/>
    </w:pPr>
    <w:rPr>
      <w:color w:val="365F91" w:themeColor="accent1" w:themeShade="BF"/>
      <w:lang w:val="en-ZW"/>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827606"/>
    <w:pPr>
      <w:outlineLvl w:val="9"/>
    </w:pPr>
  </w:style>
  <w:style w:type="paragraph" w:styleId="TOC2">
    <w:name w:val="toc 2"/>
    <w:basedOn w:val="Normal"/>
    <w:next w:val="Normal"/>
    <w:autoRedefine/>
    <w:uiPriority w:val="39"/>
    <w:unhideWhenUsed/>
    <w:rsid w:val="00827606"/>
    <w:pPr>
      <w:spacing w:after="100"/>
      <w:ind w:left="220"/>
    </w:pPr>
  </w:style>
  <w:style w:type="paragraph" w:styleId="TOC3">
    <w:name w:val="toc 3"/>
    <w:basedOn w:val="Normal"/>
    <w:next w:val="Normal"/>
    <w:autoRedefine/>
    <w:uiPriority w:val="39"/>
    <w:unhideWhenUsed/>
    <w:rsid w:val="00B14DF2"/>
    <w:pPr>
      <w:tabs>
        <w:tab w:val="right" w:leader="dot" w:pos="9350"/>
      </w:tabs>
      <w:spacing w:after="100"/>
      <w:ind w:left="440"/>
    </w:pPr>
    <w:rPr>
      <w:rFonts w:ascii="Tahoma" w:hAnsi="Tahoma" w:cs="Tahoma"/>
      <w:i/>
      <w:noProof/>
      <w:sz w:val="24"/>
      <w:szCs w:val="24"/>
    </w:rPr>
  </w:style>
  <w:style w:type="character" w:styleId="Hyperlink">
    <w:name w:val="Hyperlink"/>
    <w:basedOn w:val="DefaultParagraphFont"/>
    <w:uiPriority w:val="99"/>
    <w:unhideWhenUsed/>
    <w:rsid w:val="00827606"/>
    <w:rPr>
      <w:color w:val="0000FF" w:themeColor="hyperlink"/>
      <w:u w:val="single"/>
    </w:rPr>
  </w:style>
  <w:style w:type="paragraph" w:styleId="TOC1">
    <w:name w:val="toc 1"/>
    <w:basedOn w:val="Normal"/>
    <w:next w:val="Normal"/>
    <w:autoRedefine/>
    <w:uiPriority w:val="39"/>
    <w:unhideWhenUsed/>
    <w:rsid w:val="00020E38"/>
    <w:pPr>
      <w:spacing w:after="100"/>
    </w:pPr>
  </w:style>
  <w:style w:type="table" w:styleId="GridTable1Light-Accent3">
    <w:name w:val="Grid Table 1 Light Accent 3"/>
    <w:basedOn w:val="TableNormal"/>
    <w:uiPriority w:val="46"/>
    <w:rsid w:val="007C233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73486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Accent1">
    <w:name w:val="Grid Table 3 Accent 1"/>
    <w:basedOn w:val="TableNormal"/>
    <w:uiPriority w:val="48"/>
    <w:rsid w:val="0073486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1">
    <w:name w:val="Grid Table 4 Accent 1"/>
    <w:basedOn w:val="TableNormal"/>
    <w:uiPriority w:val="49"/>
    <w:rsid w:val="0073486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3">
    <w:name w:val="Grid Table 4 Accent 3"/>
    <w:basedOn w:val="TableNormal"/>
    <w:uiPriority w:val="49"/>
    <w:rsid w:val="0073486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Style1">
    <w:name w:val="Style1"/>
    <w:basedOn w:val="TableGrid5"/>
    <w:uiPriority w:val="99"/>
    <w:rsid w:val="0073486C"/>
    <w:pPr>
      <w:spacing w:after="0" w:line="240" w:lineRule="auto"/>
    </w:pP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Light">
    <w:name w:val="Grid Table Light"/>
    <w:basedOn w:val="TableNormal"/>
    <w:uiPriority w:val="40"/>
    <w:rsid w:val="004052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5">
    <w:name w:val="Table Grid 5"/>
    <w:basedOn w:val="TableNormal"/>
    <w:uiPriority w:val="99"/>
    <w:semiHidden/>
    <w:unhideWhenUsed/>
    <w:rsid w:val="0073486C"/>
    <w:pPr>
      <w:spacing w:after="160" w:line="259"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dTable2-Accent2">
    <w:name w:val="Grid Table 2 Accent 2"/>
    <w:basedOn w:val="TableNormal"/>
    <w:uiPriority w:val="47"/>
    <w:rsid w:val="00D1546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1">
    <w:name w:val="Plain Table 1"/>
    <w:basedOn w:val="TableNormal"/>
    <w:uiPriority w:val="41"/>
    <w:rsid w:val="002979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EB2531"/>
    <w:rPr>
      <w:rFonts w:asciiTheme="majorHAnsi" w:eastAsiaTheme="majorEastAsia" w:hAnsiTheme="majorHAnsi" w:cstheme="majorBidi"/>
      <w:i/>
      <w:iCs/>
      <w:color w:val="365F91" w:themeColor="accent1" w:themeShade="BF"/>
    </w:rPr>
  </w:style>
  <w:style w:type="table" w:customStyle="1" w:styleId="GridTable4-Accent52">
    <w:name w:val="Grid Table 4 - Accent 52"/>
    <w:basedOn w:val="TableNormal"/>
    <w:next w:val="GridTable4-Accent5"/>
    <w:uiPriority w:val="49"/>
    <w:rsid w:val="00B16E2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B16E2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1">
    <w:name w:val="Table Grid1"/>
    <w:basedOn w:val="TableNormal"/>
    <w:next w:val="TableGrid"/>
    <w:uiPriority w:val="39"/>
    <w:rsid w:val="00A81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9675FA"/>
    <w:pPr>
      <w:spacing w:after="0" w:line="240" w:lineRule="auto"/>
    </w:pPr>
    <w:rPr>
      <w:rFonts w:eastAsiaTheme="minorEastAsia"/>
      <w:sz w:val="21"/>
      <w:szCs w:val="21"/>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
    <w:name w:val="Body"/>
    <w:rsid w:val="000948C0"/>
    <w:pPr>
      <w:spacing w:after="160" w:line="256" w:lineRule="auto"/>
    </w:pPr>
    <w:rPr>
      <w:rFonts w:ascii="Calibri" w:eastAsia="Calibri" w:hAnsi="Calibri" w:cs="Calibri"/>
      <w:color w:val="000000"/>
      <w:u w:color="000000"/>
      <w:lang w:eastAsia="en-ZW"/>
    </w:rPr>
  </w:style>
  <w:style w:type="paragraph" w:styleId="NormalWeb">
    <w:name w:val="Normal (Web)"/>
    <w:basedOn w:val="Normal"/>
    <w:uiPriority w:val="99"/>
    <w:unhideWhenUsed/>
    <w:rsid w:val="008D24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7586">
      <w:bodyDiv w:val="1"/>
      <w:marLeft w:val="0"/>
      <w:marRight w:val="0"/>
      <w:marTop w:val="0"/>
      <w:marBottom w:val="0"/>
      <w:divBdr>
        <w:top w:val="none" w:sz="0" w:space="0" w:color="auto"/>
        <w:left w:val="none" w:sz="0" w:space="0" w:color="auto"/>
        <w:bottom w:val="none" w:sz="0" w:space="0" w:color="auto"/>
        <w:right w:val="none" w:sz="0" w:space="0" w:color="auto"/>
      </w:divBdr>
    </w:div>
    <w:div w:id="235632358">
      <w:bodyDiv w:val="1"/>
      <w:marLeft w:val="0"/>
      <w:marRight w:val="0"/>
      <w:marTop w:val="0"/>
      <w:marBottom w:val="0"/>
      <w:divBdr>
        <w:top w:val="none" w:sz="0" w:space="0" w:color="auto"/>
        <w:left w:val="none" w:sz="0" w:space="0" w:color="auto"/>
        <w:bottom w:val="none" w:sz="0" w:space="0" w:color="auto"/>
        <w:right w:val="none" w:sz="0" w:space="0" w:color="auto"/>
      </w:divBdr>
    </w:div>
    <w:div w:id="361247014">
      <w:bodyDiv w:val="1"/>
      <w:marLeft w:val="0"/>
      <w:marRight w:val="0"/>
      <w:marTop w:val="0"/>
      <w:marBottom w:val="0"/>
      <w:divBdr>
        <w:top w:val="none" w:sz="0" w:space="0" w:color="auto"/>
        <w:left w:val="none" w:sz="0" w:space="0" w:color="auto"/>
        <w:bottom w:val="none" w:sz="0" w:space="0" w:color="auto"/>
        <w:right w:val="none" w:sz="0" w:space="0" w:color="auto"/>
      </w:divBdr>
    </w:div>
    <w:div w:id="383607745">
      <w:bodyDiv w:val="1"/>
      <w:marLeft w:val="0"/>
      <w:marRight w:val="0"/>
      <w:marTop w:val="0"/>
      <w:marBottom w:val="0"/>
      <w:divBdr>
        <w:top w:val="none" w:sz="0" w:space="0" w:color="auto"/>
        <w:left w:val="none" w:sz="0" w:space="0" w:color="auto"/>
        <w:bottom w:val="none" w:sz="0" w:space="0" w:color="auto"/>
        <w:right w:val="none" w:sz="0" w:space="0" w:color="auto"/>
      </w:divBdr>
    </w:div>
    <w:div w:id="604458665">
      <w:bodyDiv w:val="1"/>
      <w:marLeft w:val="0"/>
      <w:marRight w:val="0"/>
      <w:marTop w:val="0"/>
      <w:marBottom w:val="0"/>
      <w:divBdr>
        <w:top w:val="none" w:sz="0" w:space="0" w:color="auto"/>
        <w:left w:val="none" w:sz="0" w:space="0" w:color="auto"/>
        <w:bottom w:val="none" w:sz="0" w:space="0" w:color="auto"/>
        <w:right w:val="none" w:sz="0" w:space="0" w:color="auto"/>
      </w:divBdr>
    </w:div>
    <w:div w:id="623460901">
      <w:bodyDiv w:val="1"/>
      <w:marLeft w:val="0"/>
      <w:marRight w:val="0"/>
      <w:marTop w:val="0"/>
      <w:marBottom w:val="0"/>
      <w:divBdr>
        <w:top w:val="none" w:sz="0" w:space="0" w:color="auto"/>
        <w:left w:val="none" w:sz="0" w:space="0" w:color="auto"/>
        <w:bottom w:val="none" w:sz="0" w:space="0" w:color="auto"/>
        <w:right w:val="none" w:sz="0" w:space="0" w:color="auto"/>
      </w:divBdr>
    </w:div>
    <w:div w:id="662011131">
      <w:bodyDiv w:val="1"/>
      <w:marLeft w:val="0"/>
      <w:marRight w:val="0"/>
      <w:marTop w:val="0"/>
      <w:marBottom w:val="0"/>
      <w:divBdr>
        <w:top w:val="none" w:sz="0" w:space="0" w:color="auto"/>
        <w:left w:val="none" w:sz="0" w:space="0" w:color="auto"/>
        <w:bottom w:val="none" w:sz="0" w:space="0" w:color="auto"/>
        <w:right w:val="none" w:sz="0" w:space="0" w:color="auto"/>
      </w:divBdr>
    </w:div>
    <w:div w:id="1006443289">
      <w:bodyDiv w:val="1"/>
      <w:marLeft w:val="0"/>
      <w:marRight w:val="0"/>
      <w:marTop w:val="0"/>
      <w:marBottom w:val="0"/>
      <w:divBdr>
        <w:top w:val="none" w:sz="0" w:space="0" w:color="auto"/>
        <w:left w:val="none" w:sz="0" w:space="0" w:color="auto"/>
        <w:bottom w:val="none" w:sz="0" w:space="0" w:color="auto"/>
        <w:right w:val="none" w:sz="0" w:space="0" w:color="auto"/>
      </w:divBdr>
    </w:div>
    <w:div w:id="1028488940">
      <w:bodyDiv w:val="1"/>
      <w:marLeft w:val="0"/>
      <w:marRight w:val="0"/>
      <w:marTop w:val="0"/>
      <w:marBottom w:val="0"/>
      <w:divBdr>
        <w:top w:val="none" w:sz="0" w:space="0" w:color="auto"/>
        <w:left w:val="none" w:sz="0" w:space="0" w:color="auto"/>
        <w:bottom w:val="none" w:sz="0" w:space="0" w:color="auto"/>
        <w:right w:val="none" w:sz="0" w:space="0" w:color="auto"/>
      </w:divBdr>
    </w:div>
    <w:div w:id="1190988442">
      <w:bodyDiv w:val="1"/>
      <w:marLeft w:val="0"/>
      <w:marRight w:val="0"/>
      <w:marTop w:val="0"/>
      <w:marBottom w:val="0"/>
      <w:divBdr>
        <w:top w:val="none" w:sz="0" w:space="0" w:color="auto"/>
        <w:left w:val="none" w:sz="0" w:space="0" w:color="auto"/>
        <w:bottom w:val="none" w:sz="0" w:space="0" w:color="auto"/>
        <w:right w:val="none" w:sz="0" w:space="0" w:color="auto"/>
      </w:divBdr>
    </w:div>
    <w:div w:id="1275332989">
      <w:bodyDiv w:val="1"/>
      <w:marLeft w:val="0"/>
      <w:marRight w:val="0"/>
      <w:marTop w:val="0"/>
      <w:marBottom w:val="0"/>
      <w:divBdr>
        <w:top w:val="none" w:sz="0" w:space="0" w:color="auto"/>
        <w:left w:val="none" w:sz="0" w:space="0" w:color="auto"/>
        <w:bottom w:val="none" w:sz="0" w:space="0" w:color="auto"/>
        <w:right w:val="none" w:sz="0" w:space="0" w:color="auto"/>
      </w:divBdr>
    </w:div>
    <w:div w:id="1445419701">
      <w:bodyDiv w:val="1"/>
      <w:marLeft w:val="0"/>
      <w:marRight w:val="0"/>
      <w:marTop w:val="0"/>
      <w:marBottom w:val="0"/>
      <w:divBdr>
        <w:top w:val="none" w:sz="0" w:space="0" w:color="auto"/>
        <w:left w:val="none" w:sz="0" w:space="0" w:color="auto"/>
        <w:bottom w:val="none" w:sz="0" w:space="0" w:color="auto"/>
        <w:right w:val="none" w:sz="0" w:space="0" w:color="auto"/>
      </w:divBdr>
    </w:div>
    <w:div w:id="1582643294">
      <w:bodyDiv w:val="1"/>
      <w:marLeft w:val="0"/>
      <w:marRight w:val="0"/>
      <w:marTop w:val="0"/>
      <w:marBottom w:val="0"/>
      <w:divBdr>
        <w:top w:val="none" w:sz="0" w:space="0" w:color="auto"/>
        <w:left w:val="none" w:sz="0" w:space="0" w:color="auto"/>
        <w:bottom w:val="none" w:sz="0" w:space="0" w:color="auto"/>
        <w:right w:val="none" w:sz="0" w:space="0" w:color="auto"/>
      </w:divBdr>
    </w:div>
    <w:div w:id="1699088700">
      <w:bodyDiv w:val="1"/>
      <w:marLeft w:val="0"/>
      <w:marRight w:val="0"/>
      <w:marTop w:val="0"/>
      <w:marBottom w:val="0"/>
      <w:divBdr>
        <w:top w:val="none" w:sz="0" w:space="0" w:color="auto"/>
        <w:left w:val="none" w:sz="0" w:space="0" w:color="auto"/>
        <w:bottom w:val="none" w:sz="0" w:space="0" w:color="auto"/>
        <w:right w:val="none" w:sz="0" w:space="0" w:color="auto"/>
      </w:divBdr>
    </w:div>
    <w:div w:id="1726031176">
      <w:bodyDiv w:val="1"/>
      <w:marLeft w:val="0"/>
      <w:marRight w:val="0"/>
      <w:marTop w:val="0"/>
      <w:marBottom w:val="0"/>
      <w:divBdr>
        <w:top w:val="none" w:sz="0" w:space="0" w:color="auto"/>
        <w:left w:val="none" w:sz="0" w:space="0" w:color="auto"/>
        <w:bottom w:val="none" w:sz="0" w:space="0" w:color="auto"/>
        <w:right w:val="none" w:sz="0" w:space="0" w:color="auto"/>
      </w:divBdr>
    </w:div>
    <w:div w:id="1746874808">
      <w:bodyDiv w:val="1"/>
      <w:marLeft w:val="0"/>
      <w:marRight w:val="0"/>
      <w:marTop w:val="0"/>
      <w:marBottom w:val="0"/>
      <w:divBdr>
        <w:top w:val="none" w:sz="0" w:space="0" w:color="auto"/>
        <w:left w:val="none" w:sz="0" w:space="0" w:color="auto"/>
        <w:bottom w:val="none" w:sz="0" w:space="0" w:color="auto"/>
        <w:right w:val="none" w:sz="0" w:space="0" w:color="auto"/>
      </w:divBdr>
      <w:divsChild>
        <w:div w:id="534776441">
          <w:marLeft w:val="547"/>
          <w:marRight w:val="0"/>
          <w:marTop w:val="154"/>
          <w:marBottom w:val="0"/>
          <w:divBdr>
            <w:top w:val="none" w:sz="0" w:space="0" w:color="auto"/>
            <w:left w:val="none" w:sz="0" w:space="0" w:color="auto"/>
            <w:bottom w:val="none" w:sz="0" w:space="0" w:color="auto"/>
            <w:right w:val="none" w:sz="0" w:space="0" w:color="auto"/>
          </w:divBdr>
        </w:div>
        <w:div w:id="2084522115">
          <w:marLeft w:val="547"/>
          <w:marRight w:val="0"/>
          <w:marTop w:val="154"/>
          <w:marBottom w:val="0"/>
          <w:divBdr>
            <w:top w:val="none" w:sz="0" w:space="0" w:color="auto"/>
            <w:left w:val="none" w:sz="0" w:space="0" w:color="auto"/>
            <w:bottom w:val="none" w:sz="0" w:space="0" w:color="auto"/>
            <w:right w:val="none" w:sz="0" w:space="0" w:color="auto"/>
          </w:divBdr>
        </w:div>
      </w:divsChild>
    </w:div>
    <w:div w:id="1890337387">
      <w:bodyDiv w:val="1"/>
      <w:marLeft w:val="0"/>
      <w:marRight w:val="0"/>
      <w:marTop w:val="0"/>
      <w:marBottom w:val="0"/>
      <w:divBdr>
        <w:top w:val="none" w:sz="0" w:space="0" w:color="auto"/>
        <w:left w:val="none" w:sz="0" w:space="0" w:color="auto"/>
        <w:bottom w:val="none" w:sz="0" w:space="0" w:color="auto"/>
        <w:right w:val="none" w:sz="0" w:space="0" w:color="auto"/>
      </w:divBdr>
    </w:div>
    <w:div w:id="192167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2.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uxillia\Downloads\Monthly%20production%20historical2019%20working%20filewithDecember2018updated%20march.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User\Desktop\zimstat\Q1%202019\Exports%20Classified%20by%20Product_%20February%202019%20Q1%20Analysis.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User\Desktop\zimstat\Q1%202019\Exports%20Classified%20by%20Country_%20February%202019.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User\Desktop\zimstat\Q1%202019\Exports%20Classified%20by%20Product_%20February%202019%20Q1%20Analysis.xlsx"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C:\Users\User\Desktop\zimstat\Q1%202019\Imports%20Classified%20by%20Country_%20February%202019.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User\Desktop\zimstat\Q1%202019\Exports%20Classified%20by%20Product_%20February%202019%20Q1%20Analysis.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OF-USER\Downloads\Monetary%20Surverys%2015.03.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F-USER\Desktop\Inflation%20Data%20base\Inflation%20Analysis%20and%20forecasts%20model.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F-USER\Desktop\Inflation%20Data%20base\Inflation%20Analysis%20and%20forecasts%20model.xls"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MOF-USER\Desktop\Work%20Files\parallel_rates%20(2).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Book2"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C:\Users\gapar\Desktop\MOF\Government%20Accounts\Annual%20Rev%20&amp;%20Exp%20since%202009%20Database%2019.2.15.xls"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'Price graphs &amp; Data'!$B$9</c:f>
              <c:strCache>
                <c:ptCount val="1"/>
                <c:pt idx="0">
                  <c:v>Gold (US$/Ounce)</c:v>
                </c:pt>
              </c:strCache>
            </c:strRef>
          </c:tx>
          <c:spPr>
            <a:ln w="28575" cap="rnd">
              <a:solidFill>
                <a:schemeClr val="accent1"/>
              </a:solidFill>
              <a:round/>
            </a:ln>
            <a:effectLst/>
          </c:spPr>
          <c:marker>
            <c:symbol val="none"/>
          </c:marker>
          <c:cat>
            <c:numRef>
              <c:f>'Price graphs &amp; Data'!$C$8:$R$8</c:f>
              <c:numCache>
                <c:formatCode>mmm\-yy</c:formatCode>
                <c:ptCount val="16"/>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pt idx="13">
                  <c:v>43466</c:v>
                </c:pt>
                <c:pt idx="14">
                  <c:v>43497</c:v>
                </c:pt>
                <c:pt idx="15">
                  <c:v>43525</c:v>
                </c:pt>
              </c:numCache>
            </c:numRef>
          </c:cat>
          <c:val>
            <c:numRef>
              <c:f>'Price graphs &amp; Data'!$C$9:$R$9</c:f>
              <c:numCache>
                <c:formatCode>General</c:formatCode>
                <c:ptCount val="16"/>
                <c:pt idx="0">
                  <c:v>1264</c:v>
                </c:pt>
                <c:pt idx="1">
                  <c:v>1332</c:v>
                </c:pt>
                <c:pt idx="2">
                  <c:v>1332</c:v>
                </c:pt>
                <c:pt idx="3">
                  <c:v>1325</c:v>
                </c:pt>
                <c:pt idx="4">
                  <c:v>1335</c:v>
                </c:pt>
                <c:pt idx="5">
                  <c:v>1303</c:v>
                </c:pt>
                <c:pt idx="6">
                  <c:v>1282</c:v>
                </c:pt>
                <c:pt idx="7">
                  <c:v>1239</c:v>
                </c:pt>
                <c:pt idx="8">
                  <c:v>1201</c:v>
                </c:pt>
                <c:pt idx="9">
                  <c:v>1198</c:v>
                </c:pt>
                <c:pt idx="10">
                  <c:v>1215</c:v>
                </c:pt>
                <c:pt idx="11">
                  <c:v>1221</c:v>
                </c:pt>
                <c:pt idx="12">
                  <c:v>1248</c:v>
                </c:pt>
                <c:pt idx="13">
                  <c:v>1292</c:v>
                </c:pt>
                <c:pt idx="14">
                  <c:v>1320</c:v>
                </c:pt>
                <c:pt idx="15">
                  <c:v>1301</c:v>
                </c:pt>
              </c:numCache>
            </c:numRef>
          </c:val>
          <c:smooth val="0"/>
          <c:extLst>
            <c:ext xmlns:c16="http://schemas.microsoft.com/office/drawing/2014/chart" uri="{C3380CC4-5D6E-409C-BE32-E72D297353CC}">
              <c16:uniqueId val="{00000000-9D2F-4724-BA72-F3F25ABEA9B6}"/>
            </c:ext>
          </c:extLst>
        </c:ser>
        <c:ser>
          <c:idx val="2"/>
          <c:order val="2"/>
          <c:tx>
            <c:strRef>
              <c:f>'Price graphs &amp; Data'!$B$11</c:f>
              <c:strCache>
                <c:ptCount val="1"/>
                <c:pt idx="0">
                  <c:v>Platinum (US$/ ounce)</c:v>
                </c:pt>
              </c:strCache>
            </c:strRef>
          </c:tx>
          <c:spPr>
            <a:ln w="28575" cap="rnd">
              <a:solidFill>
                <a:schemeClr val="accent3"/>
              </a:solidFill>
              <a:round/>
            </a:ln>
            <a:effectLst/>
          </c:spPr>
          <c:marker>
            <c:symbol val="none"/>
          </c:marker>
          <c:cat>
            <c:numRef>
              <c:f>'Price graphs &amp; Data'!$C$8:$R$8</c:f>
              <c:numCache>
                <c:formatCode>mmm\-yy</c:formatCode>
                <c:ptCount val="16"/>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pt idx="13">
                  <c:v>43466</c:v>
                </c:pt>
                <c:pt idx="14">
                  <c:v>43497</c:v>
                </c:pt>
                <c:pt idx="15">
                  <c:v>43525</c:v>
                </c:pt>
              </c:numCache>
            </c:numRef>
          </c:cat>
          <c:val>
            <c:numRef>
              <c:f>'Price graphs &amp; Data'!$C$11:$R$11</c:f>
              <c:numCache>
                <c:formatCode>General</c:formatCode>
                <c:ptCount val="16"/>
                <c:pt idx="0">
                  <c:v>904</c:v>
                </c:pt>
                <c:pt idx="1">
                  <c:v>992</c:v>
                </c:pt>
                <c:pt idx="2">
                  <c:v>988</c:v>
                </c:pt>
                <c:pt idx="3">
                  <c:v>965</c:v>
                </c:pt>
                <c:pt idx="4">
                  <c:v>924</c:v>
                </c:pt>
                <c:pt idx="5">
                  <c:v>904</c:v>
                </c:pt>
                <c:pt idx="6">
                  <c:v>885</c:v>
                </c:pt>
                <c:pt idx="7">
                  <c:v>832</c:v>
                </c:pt>
                <c:pt idx="8">
                  <c:v>806</c:v>
                </c:pt>
                <c:pt idx="9">
                  <c:v>804</c:v>
                </c:pt>
                <c:pt idx="10">
                  <c:v>830</c:v>
                </c:pt>
                <c:pt idx="11">
                  <c:v>846</c:v>
                </c:pt>
                <c:pt idx="12">
                  <c:v>790</c:v>
                </c:pt>
                <c:pt idx="13">
                  <c:v>807</c:v>
                </c:pt>
                <c:pt idx="14">
                  <c:v>818</c:v>
                </c:pt>
                <c:pt idx="15">
                  <c:v>843</c:v>
                </c:pt>
              </c:numCache>
            </c:numRef>
          </c:val>
          <c:smooth val="0"/>
          <c:extLst>
            <c:ext xmlns:c16="http://schemas.microsoft.com/office/drawing/2014/chart" uri="{C3380CC4-5D6E-409C-BE32-E72D297353CC}">
              <c16:uniqueId val="{00000001-9D2F-4724-BA72-F3F25ABEA9B6}"/>
            </c:ext>
          </c:extLst>
        </c:ser>
        <c:ser>
          <c:idx val="3"/>
          <c:order val="3"/>
          <c:tx>
            <c:strRef>
              <c:f>'Price graphs &amp; Data'!$B$12</c:f>
              <c:strCache>
                <c:ptCount val="1"/>
                <c:pt idx="0">
                  <c:v>Palladium</c:v>
                </c:pt>
              </c:strCache>
            </c:strRef>
          </c:tx>
          <c:spPr>
            <a:ln w="28575" cap="rnd">
              <a:solidFill>
                <a:schemeClr val="accent4"/>
              </a:solidFill>
              <a:round/>
            </a:ln>
            <a:effectLst/>
          </c:spPr>
          <c:marker>
            <c:symbol val="none"/>
          </c:marker>
          <c:cat>
            <c:numRef>
              <c:f>'Price graphs &amp; Data'!$C$8:$R$8</c:f>
              <c:numCache>
                <c:formatCode>mmm\-yy</c:formatCode>
                <c:ptCount val="16"/>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pt idx="13">
                  <c:v>43466</c:v>
                </c:pt>
                <c:pt idx="14">
                  <c:v>43497</c:v>
                </c:pt>
                <c:pt idx="15">
                  <c:v>43525</c:v>
                </c:pt>
              </c:numCache>
            </c:numRef>
          </c:cat>
          <c:val>
            <c:numRef>
              <c:f>'Price graphs &amp; Data'!$C$12:$R$12</c:f>
              <c:numCache>
                <c:formatCode>General</c:formatCode>
                <c:ptCount val="16"/>
                <c:pt idx="0">
                  <c:v>1019</c:v>
                </c:pt>
                <c:pt idx="1">
                  <c:v>1094</c:v>
                </c:pt>
                <c:pt idx="2">
                  <c:v>1022</c:v>
                </c:pt>
                <c:pt idx="3">
                  <c:v>987</c:v>
                </c:pt>
                <c:pt idx="4">
                  <c:v>971</c:v>
                </c:pt>
                <c:pt idx="5">
                  <c:v>980</c:v>
                </c:pt>
                <c:pt idx="6">
                  <c:v>985</c:v>
                </c:pt>
                <c:pt idx="7">
                  <c:v>931</c:v>
                </c:pt>
                <c:pt idx="8">
                  <c:v>918</c:v>
                </c:pt>
                <c:pt idx="9">
                  <c:v>1010</c:v>
                </c:pt>
                <c:pt idx="10">
                  <c:v>1084</c:v>
                </c:pt>
                <c:pt idx="11">
                  <c:v>1141</c:v>
                </c:pt>
                <c:pt idx="12">
                  <c:v>1247</c:v>
                </c:pt>
                <c:pt idx="13">
                  <c:v>1331</c:v>
                </c:pt>
                <c:pt idx="14">
                  <c:v>1443</c:v>
                </c:pt>
                <c:pt idx="15">
                  <c:v>1530</c:v>
                </c:pt>
              </c:numCache>
            </c:numRef>
          </c:val>
          <c:smooth val="0"/>
          <c:extLst>
            <c:ext xmlns:c16="http://schemas.microsoft.com/office/drawing/2014/chart" uri="{C3380CC4-5D6E-409C-BE32-E72D297353CC}">
              <c16:uniqueId val="{00000002-9D2F-4724-BA72-F3F25ABEA9B6}"/>
            </c:ext>
          </c:extLst>
        </c:ser>
        <c:dLbls>
          <c:showLegendKey val="0"/>
          <c:showVal val="0"/>
          <c:showCatName val="0"/>
          <c:showSerName val="0"/>
          <c:showPercent val="0"/>
          <c:showBubbleSize val="0"/>
        </c:dLbls>
        <c:marker val="1"/>
        <c:smooth val="0"/>
        <c:axId val="-69120272"/>
        <c:axId val="-69099056"/>
      </c:lineChart>
      <c:lineChart>
        <c:grouping val="standard"/>
        <c:varyColors val="0"/>
        <c:ser>
          <c:idx val="1"/>
          <c:order val="1"/>
          <c:tx>
            <c:strRef>
              <c:f>'Price graphs &amp; Data'!$B$10</c:f>
              <c:strCache>
                <c:ptCount val="1"/>
                <c:pt idx="0">
                  <c:v>Nickel (US$/metric ton)</c:v>
                </c:pt>
              </c:strCache>
            </c:strRef>
          </c:tx>
          <c:spPr>
            <a:ln w="28575" cap="rnd">
              <a:solidFill>
                <a:schemeClr val="accent2"/>
              </a:solidFill>
              <a:round/>
            </a:ln>
            <a:effectLst/>
          </c:spPr>
          <c:marker>
            <c:symbol val="none"/>
          </c:marker>
          <c:cat>
            <c:numRef>
              <c:f>'Price graphs &amp; Data'!$C$8:$R$8</c:f>
              <c:numCache>
                <c:formatCode>mmm\-yy</c:formatCode>
                <c:ptCount val="16"/>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pt idx="13">
                  <c:v>43466</c:v>
                </c:pt>
                <c:pt idx="14">
                  <c:v>43497</c:v>
                </c:pt>
                <c:pt idx="15">
                  <c:v>43525</c:v>
                </c:pt>
              </c:numCache>
            </c:numRef>
          </c:cat>
          <c:val>
            <c:numRef>
              <c:f>'Price graphs &amp; Data'!$C$10:$R$10</c:f>
              <c:numCache>
                <c:formatCode>General</c:formatCode>
                <c:ptCount val="16"/>
                <c:pt idx="0">
                  <c:v>11495</c:v>
                </c:pt>
                <c:pt idx="1">
                  <c:v>12865</c:v>
                </c:pt>
                <c:pt idx="2">
                  <c:v>13586</c:v>
                </c:pt>
                <c:pt idx="3">
                  <c:v>13393</c:v>
                </c:pt>
                <c:pt idx="4">
                  <c:v>13938</c:v>
                </c:pt>
                <c:pt idx="5">
                  <c:v>14366</c:v>
                </c:pt>
                <c:pt idx="6">
                  <c:v>14366</c:v>
                </c:pt>
                <c:pt idx="7" formatCode="0">
                  <c:v>13793.86</c:v>
                </c:pt>
                <c:pt idx="8" formatCode="0">
                  <c:v>13411.35</c:v>
                </c:pt>
                <c:pt idx="9" formatCode="0">
                  <c:v>12510.35</c:v>
                </c:pt>
                <c:pt idx="10" formatCode="0">
                  <c:v>12314.91</c:v>
                </c:pt>
                <c:pt idx="11" formatCode="0">
                  <c:v>11239.72</c:v>
                </c:pt>
                <c:pt idx="12" formatCode="0">
                  <c:v>10835.08</c:v>
                </c:pt>
                <c:pt idx="13" formatCode="0">
                  <c:v>11523</c:v>
                </c:pt>
                <c:pt idx="14" formatCode="0">
                  <c:v>12685</c:v>
                </c:pt>
                <c:pt idx="15" formatCode="0">
                  <c:v>12685</c:v>
                </c:pt>
              </c:numCache>
            </c:numRef>
          </c:val>
          <c:smooth val="0"/>
          <c:extLst>
            <c:ext xmlns:c16="http://schemas.microsoft.com/office/drawing/2014/chart" uri="{C3380CC4-5D6E-409C-BE32-E72D297353CC}">
              <c16:uniqueId val="{00000003-9D2F-4724-BA72-F3F25ABEA9B6}"/>
            </c:ext>
          </c:extLst>
        </c:ser>
        <c:dLbls>
          <c:showLegendKey val="0"/>
          <c:showVal val="0"/>
          <c:showCatName val="0"/>
          <c:showSerName val="0"/>
          <c:showPercent val="0"/>
          <c:showBubbleSize val="0"/>
        </c:dLbls>
        <c:marker val="1"/>
        <c:smooth val="0"/>
        <c:axId val="-69113200"/>
        <c:axId val="-69102864"/>
      </c:lineChart>
      <c:dateAx>
        <c:axId val="-6912027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099056"/>
        <c:crosses val="autoZero"/>
        <c:auto val="1"/>
        <c:lblOffset val="100"/>
        <c:baseTimeUnit val="months"/>
      </c:dateAx>
      <c:valAx>
        <c:axId val="-69099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20272"/>
        <c:crosses val="autoZero"/>
        <c:crossBetween val="between"/>
      </c:valAx>
      <c:valAx>
        <c:axId val="-6910286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13200"/>
        <c:crosses val="max"/>
        <c:crossBetween val="between"/>
      </c:valAx>
      <c:dateAx>
        <c:axId val="-69113200"/>
        <c:scaling>
          <c:orientation val="minMax"/>
        </c:scaling>
        <c:delete val="1"/>
        <c:axPos val="b"/>
        <c:numFmt formatCode="mmm\-yy" sourceLinked="1"/>
        <c:majorTickMark val="out"/>
        <c:minorTickMark val="none"/>
        <c:tickLblPos val="nextTo"/>
        <c:crossAx val="-69102864"/>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Sheet3!$B$6</c:f>
              <c:strCache>
                <c:ptCount val="1"/>
                <c:pt idx="0">
                  <c:v>Exports</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Sheet3!$C$5:$E$5</c:f>
              <c:strCache>
                <c:ptCount val="3"/>
                <c:pt idx="0">
                  <c:v>2017  Q1</c:v>
                </c:pt>
                <c:pt idx="1">
                  <c:v>2018 Q1</c:v>
                </c:pt>
                <c:pt idx="2">
                  <c:v>2019* Q1</c:v>
                </c:pt>
              </c:strCache>
            </c:strRef>
          </c:cat>
          <c:val>
            <c:numRef>
              <c:f>Sheet3!$C$6:$E$6</c:f>
              <c:numCache>
                <c:formatCode>General</c:formatCode>
                <c:ptCount val="3"/>
                <c:pt idx="0">
                  <c:v>723.8</c:v>
                </c:pt>
                <c:pt idx="1">
                  <c:v>886.1</c:v>
                </c:pt>
                <c:pt idx="2" formatCode="#,##0">
                  <c:v>1024</c:v>
                </c:pt>
              </c:numCache>
            </c:numRef>
          </c:val>
          <c:extLst>
            <c:ext xmlns:c16="http://schemas.microsoft.com/office/drawing/2014/chart" uri="{C3380CC4-5D6E-409C-BE32-E72D297353CC}">
              <c16:uniqueId val="{00000000-7596-4270-A024-84F84EA21351}"/>
            </c:ext>
          </c:extLst>
        </c:ser>
        <c:dLbls>
          <c:showLegendKey val="0"/>
          <c:showVal val="0"/>
          <c:showCatName val="0"/>
          <c:showSerName val="0"/>
          <c:showPercent val="0"/>
          <c:showBubbleSize val="0"/>
        </c:dLbls>
        <c:gapWidth val="164"/>
        <c:overlap val="-22"/>
        <c:axId val="-69131152"/>
        <c:axId val="-69144208"/>
      </c:barChart>
      <c:catAx>
        <c:axId val="-6913115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44208"/>
        <c:crosses val="autoZero"/>
        <c:auto val="1"/>
        <c:lblAlgn val="ctr"/>
        <c:lblOffset val="100"/>
        <c:noMultiLvlLbl val="0"/>
      </c:catAx>
      <c:valAx>
        <c:axId val="-691442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3115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A83-4289-9E75-BCD043F76F57}"/>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A83-4289-9E75-BCD043F76F57}"/>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A83-4289-9E75-BCD043F76F57}"/>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A83-4289-9E75-BCD043F76F57}"/>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2A83-4289-9E75-BCD043F76F57}"/>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2A83-4289-9E75-BCD043F76F57}"/>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2A83-4289-9E75-BCD043F76F57}"/>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2A83-4289-9E75-BCD043F76F57}"/>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2A83-4289-9E75-BCD043F76F57}"/>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2A83-4289-9E75-BCD043F76F5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2A83-4289-9E75-BCD043F76F5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2A83-4289-9E75-BCD043F76F5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2A83-4289-9E75-BCD043F76F57}"/>
                </c:ext>
              </c:extLst>
            </c:dLbl>
            <c:dLbl>
              <c:idx val="3"/>
              <c:layout>
                <c:manualLayout>
                  <c:x val="-0.1635434412265758"/>
                  <c:y val="2.086593293064821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A83-4289-9E75-BCD043F76F57}"/>
                </c:ext>
              </c:extLst>
            </c:dLbl>
            <c:dLbl>
              <c:idx val="4"/>
              <c:layout>
                <c:manualLayout>
                  <c:x val="-8.8586030664395257E-2"/>
                  <c:y val="-1.251955975838892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A83-4289-9E75-BCD043F76F57}"/>
                </c:ext>
              </c:extLst>
            </c:dLbl>
            <c:dLbl>
              <c:idx val="5"/>
              <c:layout>
                <c:manualLayout>
                  <c:x val="-0.12379320983514203"/>
                  <c:y val="-7.094417196420395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3311763627502268"/>
                      <c:h val="0.11438704432581349"/>
                    </c:manualLayout>
                  </c15:layout>
                </c:ext>
                <c:ext xmlns:c16="http://schemas.microsoft.com/office/drawing/2014/chart" uri="{C3380CC4-5D6E-409C-BE32-E72D297353CC}">
                  <c16:uniqueId val="{0000000B-2A83-4289-9E75-BCD043F76F57}"/>
                </c:ext>
              </c:extLst>
            </c:dLbl>
            <c:dLbl>
              <c:idx val="6"/>
              <c:layout>
                <c:manualLayout>
                  <c:x val="-0.12947189097103917"/>
                  <c:y val="-0.1377151573422782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2A83-4289-9E75-BCD043F76F57}"/>
                </c:ext>
              </c:extLst>
            </c:dLbl>
            <c:dLbl>
              <c:idx val="7"/>
              <c:layout>
                <c:manualLayout>
                  <c:x val="-0.17717206132879046"/>
                  <c:y val="-0.2170057024787414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2A83-4289-9E75-BCD043F76F57}"/>
                </c:ext>
              </c:extLst>
            </c:dLbl>
            <c:dLbl>
              <c:idx val="8"/>
              <c:layout>
                <c:manualLayout>
                  <c:x val="-0.11584327086882454"/>
                  <c:y val="-0.3296817403042417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2A83-4289-9E75-BCD043F76F57}"/>
                </c:ext>
              </c:extLst>
            </c:dLbl>
            <c:dLbl>
              <c:idx val="9"/>
              <c:layout>
                <c:manualLayout>
                  <c:x val="8.4043157296990301E-2"/>
                  <c:y val="-2.921535893155258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2A83-4289-9E75-BCD043F76F5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'[Exports Classified by Country_ February 2019.xlsx]Sheet2'!$A$3:$A$12</c:f>
              <c:strCache>
                <c:ptCount val="10"/>
                <c:pt idx="0">
                  <c:v>South Africa</c:v>
                </c:pt>
                <c:pt idx="1">
                  <c:v>United Arab Emirates</c:v>
                </c:pt>
                <c:pt idx="2">
                  <c:v>Mozambique</c:v>
                </c:pt>
                <c:pt idx="3">
                  <c:v>Belgium</c:v>
                </c:pt>
                <c:pt idx="4">
                  <c:v>Kenya</c:v>
                </c:pt>
                <c:pt idx="5">
                  <c:v>Zambia</c:v>
                </c:pt>
                <c:pt idx="6">
                  <c:v>Botswana</c:v>
                </c:pt>
                <c:pt idx="7">
                  <c:v>Namibia</c:v>
                </c:pt>
                <c:pt idx="8">
                  <c:v>Netherlands</c:v>
                </c:pt>
                <c:pt idx="9">
                  <c:v>Other Countries </c:v>
                </c:pt>
              </c:strCache>
            </c:strRef>
          </c:cat>
          <c:val>
            <c:numRef>
              <c:f>'[Exports Classified by Country_ February 2019.xlsx]Sheet2'!$B$3:$B$12</c:f>
              <c:numCache>
                <c:formatCode>_(* #,##0_);_(* \(#,##0\);_(* "-"??_);_(@_)</c:formatCode>
                <c:ptCount val="10"/>
                <c:pt idx="0">
                  <c:v>324961038.22000003</c:v>
                </c:pt>
                <c:pt idx="1">
                  <c:v>110930575.13</c:v>
                </c:pt>
                <c:pt idx="2">
                  <c:v>50225011.810000002</c:v>
                </c:pt>
                <c:pt idx="3">
                  <c:v>9783934.6699999999</c:v>
                </c:pt>
                <c:pt idx="4">
                  <c:v>8201460</c:v>
                </c:pt>
                <c:pt idx="5">
                  <c:v>7882234.4100000001</c:v>
                </c:pt>
                <c:pt idx="6">
                  <c:v>4722476.2</c:v>
                </c:pt>
                <c:pt idx="7">
                  <c:v>1282839.28</c:v>
                </c:pt>
                <c:pt idx="8">
                  <c:v>1031377.1000000001</c:v>
                </c:pt>
                <c:pt idx="9">
                  <c:v>121939748.64999998</c:v>
                </c:pt>
              </c:numCache>
            </c:numRef>
          </c:val>
          <c:extLst>
            <c:ext xmlns:c16="http://schemas.microsoft.com/office/drawing/2014/chart" uri="{C3380CC4-5D6E-409C-BE32-E72D297353CC}">
              <c16:uniqueId val="{00000014-2A83-4289-9E75-BCD043F76F57}"/>
            </c:ext>
          </c:extLst>
        </c:ser>
        <c:ser>
          <c:idx val="1"/>
          <c:order val="1"/>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6-2A83-4289-9E75-BCD043F76F57}"/>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8-2A83-4289-9E75-BCD043F76F57}"/>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A-2A83-4289-9E75-BCD043F76F57}"/>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C-2A83-4289-9E75-BCD043F76F57}"/>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E-2A83-4289-9E75-BCD043F76F57}"/>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0-2A83-4289-9E75-BCD043F76F57}"/>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2-2A83-4289-9E75-BCD043F76F57}"/>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4-2A83-4289-9E75-BCD043F76F57}"/>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6-2A83-4289-9E75-BCD043F76F57}"/>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28-2A83-4289-9E75-BCD043F76F5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2A83-4289-9E75-BCD043F76F5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8-2A83-4289-9E75-BCD043F76F5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A-2A83-4289-9E75-BCD043F76F5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C-2A83-4289-9E75-BCD043F76F57}"/>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E-2A83-4289-9E75-BCD043F76F57}"/>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20-2A83-4289-9E75-BCD043F76F57}"/>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22-2A83-4289-9E75-BCD043F76F57}"/>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24-2A83-4289-9E75-BCD043F76F57}"/>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26-2A83-4289-9E75-BCD043F76F57}"/>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28-2A83-4289-9E75-BCD043F76F5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'[Exports Classified by Country_ February 2019.xlsx]Sheet2'!$A$3:$A$12</c:f>
              <c:strCache>
                <c:ptCount val="10"/>
                <c:pt idx="0">
                  <c:v>South Africa</c:v>
                </c:pt>
                <c:pt idx="1">
                  <c:v>United Arab Emirates</c:v>
                </c:pt>
                <c:pt idx="2">
                  <c:v>Mozambique</c:v>
                </c:pt>
                <c:pt idx="3">
                  <c:v>Belgium</c:v>
                </c:pt>
                <c:pt idx="4">
                  <c:v>Kenya</c:v>
                </c:pt>
                <c:pt idx="5">
                  <c:v>Zambia</c:v>
                </c:pt>
                <c:pt idx="6">
                  <c:v>Botswana</c:v>
                </c:pt>
                <c:pt idx="7">
                  <c:v>Namibia</c:v>
                </c:pt>
                <c:pt idx="8">
                  <c:v>Netherlands</c:v>
                </c:pt>
                <c:pt idx="9">
                  <c:v>Other Countries </c:v>
                </c:pt>
              </c:strCache>
            </c:strRef>
          </c:cat>
          <c:val>
            <c:numRef>
              <c:f>'[Exports Classified by Country_ February 2019.xlsx]Sheet2'!$C$3:$C$12</c:f>
              <c:numCache>
                <c:formatCode>0.0</c:formatCode>
                <c:ptCount val="10"/>
                <c:pt idx="0">
                  <c:v>50.699058540822762</c:v>
                </c:pt>
                <c:pt idx="1">
                  <c:v>17.306923172357308</c:v>
                </c:pt>
                <c:pt idx="2">
                  <c:v>7.8358957366599977</c:v>
                </c:pt>
                <c:pt idx="3">
                  <c:v>1.5264484607477673</c:v>
                </c:pt>
                <c:pt idx="4">
                  <c:v>1.2795573984432977</c:v>
                </c:pt>
                <c:pt idx="5">
                  <c:v>1.2297531604836018</c:v>
                </c:pt>
                <c:pt idx="6">
                  <c:v>0.73678093420956636</c:v>
                </c:pt>
                <c:pt idx="7">
                  <c:v>0.20014320520220463</c:v>
                </c:pt>
                <c:pt idx="8">
                  <c:v>0.16091113032191742</c:v>
                </c:pt>
                <c:pt idx="9">
                  <c:v>19.024528260751573</c:v>
                </c:pt>
              </c:numCache>
            </c:numRef>
          </c:val>
          <c:extLst>
            <c:ext xmlns:c16="http://schemas.microsoft.com/office/drawing/2014/chart" uri="{C3380CC4-5D6E-409C-BE32-E72D297353CC}">
              <c16:uniqueId val="{00000029-2A83-4289-9E75-BCD043F76F57}"/>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Sheet3!$B$7</c:f>
              <c:strCache>
                <c:ptCount val="1"/>
                <c:pt idx="0">
                  <c:v>Imports </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Sheet3!$C$5:$E$5</c:f>
              <c:strCache>
                <c:ptCount val="3"/>
                <c:pt idx="0">
                  <c:v>2017  Q1</c:v>
                </c:pt>
                <c:pt idx="1">
                  <c:v>2018 Q1</c:v>
                </c:pt>
                <c:pt idx="2">
                  <c:v>2019* Q1</c:v>
                </c:pt>
              </c:strCache>
            </c:strRef>
          </c:cat>
          <c:val>
            <c:numRef>
              <c:f>Sheet3!$C$7:$E$7</c:f>
              <c:numCache>
                <c:formatCode>#,##0</c:formatCode>
                <c:ptCount val="3"/>
                <c:pt idx="0">
                  <c:v>1340</c:v>
                </c:pt>
                <c:pt idx="1">
                  <c:v>1670</c:v>
                </c:pt>
                <c:pt idx="2">
                  <c:v>1115</c:v>
                </c:pt>
              </c:numCache>
            </c:numRef>
          </c:val>
          <c:extLst>
            <c:ext xmlns:c16="http://schemas.microsoft.com/office/drawing/2014/chart" uri="{C3380CC4-5D6E-409C-BE32-E72D297353CC}">
              <c16:uniqueId val="{00000000-A256-440A-B775-986D0F3DA519}"/>
            </c:ext>
          </c:extLst>
        </c:ser>
        <c:dLbls>
          <c:showLegendKey val="0"/>
          <c:showVal val="0"/>
          <c:showCatName val="0"/>
          <c:showSerName val="0"/>
          <c:showPercent val="0"/>
          <c:showBubbleSize val="0"/>
        </c:dLbls>
        <c:gapWidth val="164"/>
        <c:overlap val="-22"/>
        <c:axId val="-69122448"/>
        <c:axId val="-69132784"/>
      </c:barChart>
      <c:catAx>
        <c:axId val="-6912244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32784"/>
        <c:crosses val="autoZero"/>
        <c:auto val="1"/>
        <c:lblAlgn val="ctr"/>
        <c:lblOffset val="100"/>
        <c:noMultiLvlLbl val="0"/>
      </c:catAx>
      <c:valAx>
        <c:axId val="-6913278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2244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F5A-4146-AC97-C5853A2E6CB2}"/>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F5A-4146-AC97-C5853A2E6CB2}"/>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F5A-4146-AC97-C5853A2E6CB2}"/>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F5A-4146-AC97-C5853A2E6CB2}"/>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F5A-4146-AC97-C5853A2E6CB2}"/>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3F5A-4146-AC97-C5853A2E6CB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3F5A-4146-AC97-C5853A2E6CB2}"/>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3F5A-4146-AC97-C5853A2E6CB2}"/>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3F5A-4146-AC97-C5853A2E6CB2}"/>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3-3F5A-4146-AC97-C5853A2E6CB2}"/>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5-3F5A-4146-AC97-C5853A2E6CB2}"/>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7-3F5A-4146-AC97-C5853A2E6CB2}"/>
              </c:ext>
            </c:extLst>
          </c:dPt>
          <c:dPt>
            <c:idx val="12"/>
            <c:bubble3D val="0"/>
            <c:spPr>
              <a:solidFill>
                <a:schemeClr val="accent1">
                  <a:lumMod val="80000"/>
                  <a:lumOff val="2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9-3F5A-4146-AC97-C5853A2E6CB2}"/>
              </c:ext>
            </c:extLst>
          </c:dPt>
          <c:dLbls>
            <c:dLbl>
              <c:idx val="0"/>
              <c:layout>
                <c:manualLayout>
                  <c:x val="-7.1338061744447692E-2"/>
                  <c:y val="0.1161603237095363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F5A-4146-AC97-C5853A2E6CB2}"/>
                </c:ext>
              </c:extLst>
            </c:dLbl>
            <c:dLbl>
              <c:idx val="1"/>
              <c:layout>
                <c:manualLayout>
                  <c:x val="-3.9604519997192243E-2"/>
                  <c:y val="-0.1339566929133858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F5A-4146-AC97-C5853A2E6CB2}"/>
                </c:ext>
              </c:extLst>
            </c:dLbl>
            <c:dLbl>
              <c:idx val="2"/>
              <c:layout>
                <c:manualLayout>
                  <c:x val="8.075983769725302E-2"/>
                  <c:y val="-8.388633712452618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F5A-4146-AC97-C5853A2E6CB2}"/>
                </c:ext>
              </c:extLst>
            </c:dLbl>
            <c:dLbl>
              <c:idx val="3"/>
              <c:layout>
                <c:manualLayout>
                  <c:x val="-5.4366193673620535E-2"/>
                  <c:y val="0.1417508748906386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F5A-4146-AC97-C5853A2E6CB2}"/>
                </c:ext>
              </c:extLst>
            </c:dLbl>
            <c:dLbl>
              <c:idx val="4"/>
              <c:layout>
                <c:manualLayout>
                  <c:x val="-0.12003709030422496"/>
                  <c:y val="0.152198162729658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F5A-4146-AC97-C5853A2E6CB2}"/>
                </c:ext>
              </c:extLst>
            </c:dLbl>
            <c:dLbl>
              <c:idx val="5"/>
              <c:layout>
                <c:manualLayout>
                  <c:x val="-0.11178870620595602"/>
                  <c:y val="8.271835812190142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F5A-4146-AC97-C5853A2E6CB2}"/>
                </c:ext>
              </c:extLst>
            </c:dLbl>
            <c:dLbl>
              <c:idx val="6"/>
              <c:layout>
                <c:manualLayout>
                  <c:x val="-0.10584988180998012"/>
                  <c:y val="4.060768445610961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F5A-4146-AC97-C5853A2E6CB2}"/>
                </c:ext>
              </c:extLst>
            </c:dLbl>
            <c:dLbl>
              <c:idx val="7"/>
              <c:layout>
                <c:manualLayout>
                  <c:x val="-0.13010838719165987"/>
                  <c:y val="1.950422863808690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F5A-4146-AC97-C5853A2E6CB2}"/>
                </c:ext>
              </c:extLst>
            </c:dLbl>
            <c:dLbl>
              <c:idx val="8"/>
              <c:layout>
                <c:manualLayout>
                  <c:x val="-0.10492794191961012"/>
                  <c:y val="-1.107757363662877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3F5A-4146-AC97-C5853A2E6CB2}"/>
                </c:ext>
              </c:extLst>
            </c:dLbl>
            <c:dLbl>
              <c:idx val="9"/>
              <c:layout>
                <c:manualLayout>
                  <c:x val="-0.12614425837167917"/>
                  <c:y val="-7.442038495188102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3F5A-4146-AC97-C5853A2E6CB2}"/>
                </c:ext>
              </c:extLst>
            </c:dLbl>
            <c:dLbl>
              <c:idx val="10"/>
              <c:layout>
                <c:manualLayout>
                  <c:x val="-6.4330072712919073E-2"/>
                  <c:y val="-9.495589093030039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5-3F5A-4146-AC97-C5853A2E6CB2}"/>
                </c:ext>
              </c:extLst>
            </c:dLbl>
            <c:dLbl>
              <c:idx val="11"/>
              <c:layout>
                <c:manualLayout>
                  <c:x val="1.2682750881449286E-2"/>
                  <c:y val="-4.574985418489356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7-3F5A-4146-AC97-C5853A2E6CB2}"/>
                </c:ext>
              </c:extLst>
            </c:dLbl>
            <c:dLbl>
              <c:idx val="12"/>
              <c:layout>
                <c:manualLayout>
                  <c:x val="5.4828531031299393E-2"/>
                  <c:y val="0.1198447069116360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9-3F5A-4146-AC97-C5853A2E6CB2}"/>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'[Imports Classified by Country_ February 2019.xlsx]Sheet1'!$G$3:$G$15</c:f>
              <c:strCache>
                <c:ptCount val="13"/>
                <c:pt idx="0">
                  <c:v>South Africa</c:v>
                </c:pt>
                <c:pt idx="1">
                  <c:v>Singapore</c:v>
                </c:pt>
                <c:pt idx="2">
                  <c:v>China</c:v>
                </c:pt>
                <c:pt idx="3">
                  <c:v>United Kingdom</c:v>
                </c:pt>
                <c:pt idx="4">
                  <c:v>India</c:v>
                </c:pt>
                <c:pt idx="5">
                  <c:v>Mauritius</c:v>
                </c:pt>
                <c:pt idx="6">
                  <c:v>Japan</c:v>
                </c:pt>
                <c:pt idx="7">
                  <c:v>Zambia</c:v>
                </c:pt>
                <c:pt idx="8">
                  <c:v>Hong Kong</c:v>
                </c:pt>
                <c:pt idx="9">
                  <c:v>United Arab Emirates</c:v>
                </c:pt>
                <c:pt idx="10">
                  <c:v>Mozambique</c:v>
                </c:pt>
                <c:pt idx="11">
                  <c:v>United States</c:v>
                </c:pt>
                <c:pt idx="12">
                  <c:v>Other Countries</c:v>
                </c:pt>
              </c:strCache>
            </c:strRef>
          </c:cat>
          <c:val>
            <c:numRef>
              <c:f>'[Imports Classified by Country_ February 2019.xlsx]Sheet1'!$H$3:$H$15</c:f>
              <c:numCache>
                <c:formatCode>_(* #,##0.00_);_(* \(#,##0.00\);_(* "-"??_);_(@_)</c:formatCode>
                <c:ptCount val="13"/>
                <c:pt idx="0">
                  <c:v>233675150.63999999</c:v>
                </c:pt>
                <c:pt idx="1">
                  <c:v>193263992.67000002</c:v>
                </c:pt>
                <c:pt idx="2">
                  <c:v>70509654.719999999</c:v>
                </c:pt>
                <c:pt idx="3">
                  <c:v>23106557.289999999</c:v>
                </c:pt>
                <c:pt idx="4">
                  <c:v>19301032.119999997</c:v>
                </c:pt>
                <c:pt idx="5">
                  <c:v>18305906.32</c:v>
                </c:pt>
                <c:pt idx="6">
                  <c:v>15726003.789999999</c:v>
                </c:pt>
                <c:pt idx="7">
                  <c:v>13444821.58</c:v>
                </c:pt>
                <c:pt idx="8">
                  <c:v>12356628.699999999</c:v>
                </c:pt>
                <c:pt idx="9">
                  <c:v>9706328.4900000002</c:v>
                </c:pt>
                <c:pt idx="10">
                  <c:v>9661068.7100000009</c:v>
                </c:pt>
                <c:pt idx="11">
                  <c:v>8748977.7699999996</c:v>
                </c:pt>
                <c:pt idx="12" formatCode="_(* #,##0_);_(* \(#,##0\);_(* &quot;-&quot;??_);_(@_)">
                  <c:v>79448359.879999995</c:v>
                </c:pt>
              </c:numCache>
            </c:numRef>
          </c:val>
          <c:extLst>
            <c:ext xmlns:c16="http://schemas.microsoft.com/office/drawing/2014/chart" uri="{C3380CC4-5D6E-409C-BE32-E72D297353CC}">
              <c16:uniqueId val="{0000001A-3F5A-4146-AC97-C5853A2E6CB2}"/>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3674504776371843"/>
          <c:y val="7.0309492563429568E-2"/>
          <c:w val="0.20237649037831623"/>
          <c:h val="0.8593810148731408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Sheet3!$B$6</c:f>
              <c:strCache>
                <c:ptCount val="1"/>
                <c:pt idx="0">
                  <c:v>Exports</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Sheet3!$C$5:$E$5</c:f>
              <c:strCache>
                <c:ptCount val="3"/>
                <c:pt idx="0">
                  <c:v>2017  Q1</c:v>
                </c:pt>
                <c:pt idx="1">
                  <c:v>2018 Q1</c:v>
                </c:pt>
                <c:pt idx="2">
                  <c:v>2019* Q1</c:v>
                </c:pt>
              </c:strCache>
            </c:strRef>
          </c:cat>
          <c:val>
            <c:numRef>
              <c:f>Sheet3!$C$6:$E$6</c:f>
              <c:numCache>
                <c:formatCode>General</c:formatCode>
                <c:ptCount val="3"/>
                <c:pt idx="0">
                  <c:v>723.8</c:v>
                </c:pt>
                <c:pt idx="1">
                  <c:v>886.1</c:v>
                </c:pt>
                <c:pt idx="2" formatCode="#,##0">
                  <c:v>1024</c:v>
                </c:pt>
              </c:numCache>
            </c:numRef>
          </c:val>
          <c:extLst>
            <c:ext xmlns:c16="http://schemas.microsoft.com/office/drawing/2014/chart" uri="{C3380CC4-5D6E-409C-BE32-E72D297353CC}">
              <c16:uniqueId val="{00000000-D79D-466B-A8BE-E03266D40138}"/>
            </c:ext>
          </c:extLst>
        </c:ser>
        <c:ser>
          <c:idx val="1"/>
          <c:order val="1"/>
          <c:tx>
            <c:strRef>
              <c:f>Sheet3!$B$7</c:f>
              <c:strCache>
                <c:ptCount val="1"/>
                <c:pt idx="0">
                  <c:v>Imports </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Sheet3!$C$5:$E$5</c:f>
              <c:strCache>
                <c:ptCount val="3"/>
                <c:pt idx="0">
                  <c:v>2017  Q1</c:v>
                </c:pt>
                <c:pt idx="1">
                  <c:v>2018 Q1</c:v>
                </c:pt>
                <c:pt idx="2">
                  <c:v>2019* Q1</c:v>
                </c:pt>
              </c:strCache>
            </c:strRef>
          </c:cat>
          <c:val>
            <c:numRef>
              <c:f>Sheet3!$C$7:$E$7</c:f>
              <c:numCache>
                <c:formatCode>#,##0</c:formatCode>
                <c:ptCount val="3"/>
                <c:pt idx="0">
                  <c:v>1340</c:v>
                </c:pt>
                <c:pt idx="1">
                  <c:v>1670</c:v>
                </c:pt>
                <c:pt idx="2">
                  <c:v>1115</c:v>
                </c:pt>
              </c:numCache>
            </c:numRef>
          </c:val>
          <c:extLst>
            <c:ext xmlns:c16="http://schemas.microsoft.com/office/drawing/2014/chart" uri="{C3380CC4-5D6E-409C-BE32-E72D297353CC}">
              <c16:uniqueId val="{00000001-D79D-466B-A8BE-E03266D40138}"/>
            </c:ext>
          </c:extLst>
        </c:ser>
        <c:ser>
          <c:idx val="2"/>
          <c:order val="2"/>
          <c:tx>
            <c:strRef>
              <c:f>Sheet3!$B$8</c:f>
              <c:strCache>
                <c:ptCount val="1"/>
                <c:pt idx="0">
                  <c:v>Trade Balance</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Sheet3!$C$5:$E$5</c:f>
              <c:strCache>
                <c:ptCount val="3"/>
                <c:pt idx="0">
                  <c:v>2017  Q1</c:v>
                </c:pt>
                <c:pt idx="1">
                  <c:v>2018 Q1</c:v>
                </c:pt>
                <c:pt idx="2">
                  <c:v>2019* Q1</c:v>
                </c:pt>
              </c:strCache>
            </c:strRef>
          </c:cat>
          <c:val>
            <c:numRef>
              <c:f>Sheet3!$C$8:$E$8</c:f>
              <c:numCache>
                <c:formatCode>#,##0</c:formatCode>
                <c:ptCount val="3"/>
                <c:pt idx="0">
                  <c:v>-616.20000000000005</c:v>
                </c:pt>
                <c:pt idx="1">
                  <c:v>-783.9</c:v>
                </c:pt>
                <c:pt idx="2" formatCode="_(* #,##0.00_);_(* \(#,##0.00\);_(* &quot;-&quot;??_);_(@_)">
                  <c:v>-91</c:v>
                </c:pt>
              </c:numCache>
            </c:numRef>
          </c:val>
          <c:extLst>
            <c:ext xmlns:c16="http://schemas.microsoft.com/office/drawing/2014/chart" uri="{C3380CC4-5D6E-409C-BE32-E72D297353CC}">
              <c16:uniqueId val="{00000002-D79D-466B-A8BE-E03266D40138}"/>
            </c:ext>
          </c:extLst>
        </c:ser>
        <c:dLbls>
          <c:showLegendKey val="0"/>
          <c:showVal val="0"/>
          <c:showCatName val="0"/>
          <c:showSerName val="0"/>
          <c:showPercent val="0"/>
          <c:showBubbleSize val="0"/>
        </c:dLbls>
        <c:gapWidth val="164"/>
        <c:overlap val="-22"/>
        <c:axId val="-685123168"/>
        <c:axId val="-685107936"/>
      </c:barChart>
      <c:catAx>
        <c:axId val="-68512316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5107936"/>
        <c:crosses val="autoZero"/>
        <c:auto val="1"/>
        <c:lblAlgn val="ctr"/>
        <c:lblOffset val="100"/>
        <c:noMultiLvlLbl val="0"/>
      </c:catAx>
      <c:valAx>
        <c:axId val="-6851079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512316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Sheet1!$C$33</c:f>
              <c:strCache>
                <c:ptCount val="1"/>
                <c:pt idx="0">
                  <c:v>Actual </c:v>
                </c:pt>
              </c:strCache>
            </c:strRef>
          </c:tx>
          <c:spPr>
            <a:solidFill>
              <a:schemeClr val="accent1"/>
            </a:solidFill>
            <a:ln>
              <a:noFill/>
            </a:ln>
            <a:effectLst/>
          </c:spPr>
          <c:invertIfNegative val="0"/>
          <c:cat>
            <c:strRef>
              <c:f>Sheet1!$B$34:$B$38</c:f>
              <c:strCache>
                <c:ptCount val="5"/>
                <c:pt idx="0">
                  <c:v>2018 Q1</c:v>
                </c:pt>
                <c:pt idx="1">
                  <c:v>2018 Q1</c:v>
                </c:pt>
                <c:pt idx="2">
                  <c:v>2018 Q3</c:v>
                </c:pt>
                <c:pt idx="3">
                  <c:v>2018 Q4</c:v>
                </c:pt>
                <c:pt idx="4">
                  <c:v>2019 Q1</c:v>
                </c:pt>
              </c:strCache>
            </c:strRef>
          </c:cat>
          <c:val>
            <c:numRef>
              <c:f>Sheet1!$C$34:$C$38</c:f>
              <c:numCache>
                <c:formatCode>General</c:formatCode>
                <c:ptCount val="5"/>
                <c:pt idx="0">
                  <c:v>1649.56</c:v>
                </c:pt>
                <c:pt idx="1">
                  <c:v>2171.7199999999998</c:v>
                </c:pt>
                <c:pt idx="2">
                  <c:v>2521.27</c:v>
                </c:pt>
                <c:pt idx="3">
                  <c:v>2694.92</c:v>
                </c:pt>
                <c:pt idx="4">
                  <c:v>2457.5500000000002</c:v>
                </c:pt>
              </c:numCache>
            </c:numRef>
          </c:val>
          <c:extLst>
            <c:ext xmlns:c16="http://schemas.microsoft.com/office/drawing/2014/chart" uri="{C3380CC4-5D6E-409C-BE32-E72D297353CC}">
              <c16:uniqueId val="{00000000-086F-4BD0-9552-262D985257DE}"/>
            </c:ext>
          </c:extLst>
        </c:ser>
        <c:ser>
          <c:idx val="1"/>
          <c:order val="1"/>
          <c:tx>
            <c:strRef>
              <c:f>Sheet1!$D$33</c:f>
              <c:strCache>
                <c:ptCount val="1"/>
                <c:pt idx="0">
                  <c:v>Target</c:v>
                </c:pt>
              </c:strCache>
            </c:strRef>
          </c:tx>
          <c:spPr>
            <a:solidFill>
              <a:schemeClr val="accent2"/>
            </a:solidFill>
            <a:ln>
              <a:noFill/>
            </a:ln>
            <a:effectLst/>
          </c:spPr>
          <c:invertIfNegative val="0"/>
          <c:cat>
            <c:strRef>
              <c:f>Sheet1!$B$34:$B$38</c:f>
              <c:strCache>
                <c:ptCount val="5"/>
                <c:pt idx="0">
                  <c:v>2018 Q1</c:v>
                </c:pt>
                <c:pt idx="1">
                  <c:v>2018 Q1</c:v>
                </c:pt>
                <c:pt idx="2">
                  <c:v>2018 Q3</c:v>
                </c:pt>
                <c:pt idx="3">
                  <c:v>2018 Q4</c:v>
                </c:pt>
                <c:pt idx="4">
                  <c:v>2019 Q1</c:v>
                </c:pt>
              </c:strCache>
            </c:strRef>
          </c:cat>
          <c:val>
            <c:numRef>
              <c:f>Sheet1!$D$34:$D$38</c:f>
              <c:numCache>
                <c:formatCode>General</c:formatCode>
                <c:ptCount val="5"/>
                <c:pt idx="0">
                  <c:v>1741.8600000000001</c:v>
                </c:pt>
                <c:pt idx="1">
                  <c:v>2186.0699999999997</c:v>
                </c:pt>
                <c:pt idx="2">
                  <c:v>2116.98</c:v>
                </c:pt>
                <c:pt idx="3">
                  <c:v>2031.35</c:v>
                </c:pt>
                <c:pt idx="4">
                  <c:v>2043.56</c:v>
                </c:pt>
              </c:numCache>
            </c:numRef>
          </c:val>
          <c:extLst>
            <c:ext xmlns:c16="http://schemas.microsoft.com/office/drawing/2014/chart" uri="{C3380CC4-5D6E-409C-BE32-E72D297353CC}">
              <c16:uniqueId val="{00000001-086F-4BD0-9552-262D985257DE}"/>
            </c:ext>
          </c:extLst>
        </c:ser>
        <c:dLbls>
          <c:showLegendKey val="0"/>
          <c:showVal val="0"/>
          <c:showCatName val="0"/>
          <c:showSerName val="0"/>
          <c:showPercent val="0"/>
          <c:showBubbleSize val="0"/>
        </c:dLbls>
        <c:gapWidth val="300"/>
        <c:axId val="-69110480"/>
        <c:axId val="-69119728"/>
      </c:barChart>
      <c:catAx>
        <c:axId val="-6911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19728"/>
        <c:crosses val="autoZero"/>
        <c:auto val="1"/>
        <c:lblAlgn val="ctr"/>
        <c:lblOffset val="100"/>
        <c:noMultiLvlLbl val="0"/>
      </c:catAx>
      <c:valAx>
        <c:axId val="-6911972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GW/h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1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744094488188974E-2"/>
          <c:y val="5.0925925925925923E-2"/>
          <c:w val="0.9155301837270341"/>
          <c:h val="0.65915208515602219"/>
        </c:manualLayout>
      </c:layout>
      <c:lineChart>
        <c:grouping val="standard"/>
        <c:varyColors val="0"/>
        <c:ser>
          <c:idx val="0"/>
          <c:order val="0"/>
          <c:tx>
            <c:strRef>
              <c:f>Sheet1!$C$9</c:f>
              <c:strCache>
                <c:ptCount val="1"/>
                <c:pt idx="0">
                  <c:v> Gas</c:v>
                </c:pt>
              </c:strCache>
            </c:strRef>
          </c:tx>
          <c:spPr>
            <a:ln w="28575" cap="rnd">
              <a:solidFill>
                <a:schemeClr val="accent1"/>
              </a:solidFill>
              <a:round/>
            </a:ln>
            <a:effectLst/>
          </c:spPr>
          <c:marker>
            <c:symbol val="none"/>
          </c:marker>
          <c:cat>
            <c:numRef>
              <c:f>Sheet1!$B$10:$B$24</c:f>
              <c:numCache>
                <c:formatCode>mmm\-yy</c:formatCode>
                <c:ptCount val="15"/>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numCache>
            </c:numRef>
          </c:cat>
          <c:val>
            <c:numRef>
              <c:f>Sheet1!$C$10:$C$24</c:f>
              <c:numCache>
                <c:formatCode>General</c:formatCode>
                <c:ptCount val="15"/>
                <c:pt idx="0">
                  <c:v>2.9807000000000001</c:v>
                </c:pt>
                <c:pt idx="1">
                  <c:v>2.9807600000000001</c:v>
                </c:pt>
                <c:pt idx="2">
                  <c:v>2.5134799999999999</c:v>
                </c:pt>
                <c:pt idx="3">
                  <c:v>2.54176</c:v>
                </c:pt>
                <c:pt idx="4">
                  <c:v>2.25875</c:v>
                </c:pt>
                <c:pt idx="5">
                  <c:v>2.2827999999999999</c:v>
                </c:pt>
                <c:pt idx="6">
                  <c:v>2.32979</c:v>
                </c:pt>
                <c:pt idx="7">
                  <c:v>2.3620700000000001</c:v>
                </c:pt>
                <c:pt idx="8">
                  <c:v>2.4191400000000001</c:v>
                </c:pt>
                <c:pt idx="9">
                  <c:v>3.3293900000000001</c:v>
                </c:pt>
                <c:pt idx="10">
                  <c:v>4.0304000000000002</c:v>
                </c:pt>
                <c:pt idx="11">
                  <c:v>4.7068099999999999</c:v>
                </c:pt>
                <c:pt idx="12">
                  <c:v>5.9107099999999999</c:v>
                </c:pt>
                <c:pt idx="13">
                  <c:v>5.3952299999999997</c:v>
                </c:pt>
                <c:pt idx="14" formatCode="0.00000">
                  <c:v>5.8159649231828991</c:v>
                </c:pt>
              </c:numCache>
            </c:numRef>
          </c:val>
          <c:smooth val="0"/>
          <c:extLst>
            <c:ext xmlns:c16="http://schemas.microsoft.com/office/drawing/2014/chart" uri="{C3380CC4-5D6E-409C-BE32-E72D297353CC}">
              <c16:uniqueId val="{00000000-4AB1-46C4-A422-11EAA81A2DB6}"/>
            </c:ext>
          </c:extLst>
        </c:ser>
        <c:ser>
          <c:idx val="1"/>
          <c:order val="1"/>
          <c:tx>
            <c:strRef>
              <c:f>Sheet1!$D$9</c:f>
              <c:strCache>
                <c:ptCount val="1"/>
                <c:pt idx="0">
                  <c:v> Paraffin</c:v>
                </c:pt>
              </c:strCache>
            </c:strRef>
          </c:tx>
          <c:spPr>
            <a:ln w="28575" cap="rnd">
              <a:solidFill>
                <a:schemeClr val="accent2"/>
              </a:solidFill>
              <a:round/>
            </a:ln>
            <a:effectLst/>
          </c:spPr>
          <c:marker>
            <c:symbol val="none"/>
          </c:marker>
          <c:cat>
            <c:numRef>
              <c:f>Sheet1!$B$10:$B$24</c:f>
              <c:numCache>
                <c:formatCode>mmm\-yy</c:formatCode>
                <c:ptCount val="15"/>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numCache>
            </c:numRef>
          </c:cat>
          <c:val>
            <c:numRef>
              <c:f>Sheet1!$D$10:$D$24</c:f>
              <c:numCache>
                <c:formatCode>General</c:formatCode>
                <c:ptCount val="15"/>
                <c:pt idx="0">
                  <c:v>1.6530199999999999</c:v>
                </c:pt>
                <c:pt idx="1">
                  <c:v>1.88324</c:v>
                </c:pt>
                <c:pt idx="2">
                  <c:v>2.21191</c:v>
                </c:pt>
                <c:pt idx="3">
                  <c:v>1.69825</c:v>
                </c:pt>
                <c:pt idx="4">
                  <c:v>1.5180199999999999</c:v>
                </c:pt>
                <c:pt idx="5">
                  <c:v>1.3528899999999999</c:v>
                </c:pt>
                <c:pt idx="6">
                  <c:v>1.3918200000000001</c:v>
                </c:pt>
                <c:pt idx="7">
                  <c:v>1.36104</c:v>
                </c:pt>
                <c:pt idx="8">
                  <c:v>1.4161600000000001</c:v>
                </c:pt>
                <c:pt idx="9">
                  <c:v>1.7712600000000001</c:v>
                </c:pt>
                <c:pt idx="10">
                  <c:v>2.0980799999999999</c:v>
                </c:pt>
                <c:pt idx="11">
                  <c:v>3.1278299999999999</c:v>
                </c:pt>
                <c:pt idx="12">
                  <c:v>4.23081</c:v>
                </c:pt>
                <c:pt idx="13">
                  <c:v>4.8573399999999998</c:v>
                </c:pt>
                <c:pt idx="14" formatCode="0.00000">
                  <c:v>5.3915838971675392</c:v>
                </c:pt>
              </c:numCache>
            </c:numRef>
          </c:val>
          <c:smooth val="0"/>
          <c:extLst>
            <c:ext xmlns:c16="http://schemas.microsoft.com/office/drawing/2014/chart" uri="{C3380CC4-5D6E-409C-BE32-E72D297353CC}">
              <c16:uniqueId val="{00000001-4AB1-46C4-A422-11EAA81A2DB6}"/>
            </c:ext>
          </c:extLst>
        </c:ser>
        <c:ser>
          <c:idx val="2"/>
          <c:order val="2"/>
          <c:tx>
            <c:strRef>
              <c:f>Sheet1!$E$9</c:f>
              <c:strCache>
                <c:ptCount val="1"/>
                <c:pt idx="0">
                  <c:v> Petrol</c:v>
                </c:pt>
              </c:strCache>
            </c:strRef>
          </c:tx>
          <c:spPr>
            <a:ln w="28575" cap="rnd">
              <a:solidFill>
                <a:schemeClr val="accent3"/>
              </a:solidFill>
              <a:round/>
            </a:ln>
            <a:effectLst/>
          </c:spPr>
          <c:marker>
            <c:symbol val="none"/>
          </c:marker>
          <c:cat>
            <c:numRef>
              <c:f>Sheet1!$B$10:$B$24</c:f>
              <c:numCache>
                <c:formatCode>mmm\-yy</c:formatCode>
                <c:ptCount val="15"/>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numCache>
            </c:numRef>
          </c:cat>
          <c:val>
            <c:numRef>
              <c:f>Sheet1!$E$10:$E$24</c:f>
              <c:numCache>
                <c:formatCode>General</c:formatCode>
                <c:ptCount val="15"/>
                <c:pt idx="0">
                  <c:v>1.4107400000000001</c:v>
                </c:pt>
                <c:pt idx="1">
                  <c:v>1.3923300000000001</c:v>
                </c:pt>
                <c:pt idx="2">
                  <c:v>1.3685799999999999</c:v>
                </c:pt>
                <c:pt idx="3">
                  <c:v>1.3714999999999999</c:v>
                </c:pt>
                <c:pt idx="4">
                  <c:v>1.40503</c:v>
                </c:pt>
                <c:pt idx="5">
                  <c:v>1.45137</c:v>
                </c:pt>
                <c:pt idx="6">
                  <c:v>1.4366399999999999</c:v>
                </c:pt>
                <c:pt idx="7">
                  <c:v>1.4242300000000001</c:v>
                </c:pt>
                <c:pt idx="8">
                  <c:v>1.4281200000000001</c:v>
                </c:pt>
                <c:pt idx="9">
                  <c:v>1.4422900000000001</c:v>
                </c:pt>
                <c:pt idx="10">
                  <c:v>1.42622</c:v>
                </c:pt>
                <c:pt idx="11">
                  <c:v>1.4130100000000001</c:v>
                </c:pt>
                <c:pt idx="12">
                  <c:v>3.3367300000000002</c:v>
                </c:pt>
                <c:pt idx="13">
                  <c:v>3.3662700000000001</c:v>
                </c:pt>
                <c:pt idx="14" formatCode="0.00000">
                  <c:v>3.4109056802941775</c:v>
                </c:pt>
              </c:numCache>
            </c:numRef>
          </c:val>
          <c:smooth val="0"/>
          <c:extLst>
            <c:ext xmlns:c16="http://schemas.microsoft.com/office/drawing/2014/chart" uri="{C3380CC4-5D6E-409C-BE32-E72D297353CC}">
              <c16:uniqueId val="{00000002-4AB1-46C4-A422-11EAA81A2DB6}"/>
            </c:ext>
          </c:extLst>
        </c:ser>
        <c:ser>
          <c:idx val="3"/>
          <c:order val="3"/>
          <c:tx>
            <c:strRef>
              <c:f>Sheet1!$F$9</c:f>
              <c:strCache>
                <c:ptCount val="1"/>
                <c:pt idx="0">
                  <c:v> Diesel</c:v>
                </c:pt>
              </c:strCache>
            </c:strRef>
          </c:tx>
          <c:spPr>
            <a:ln w="28575" cap="rnd">
              <a:solidFill>
                <a:schemeClr val="accent4"/>
              </a:solidFill>
              <a:round/>
            </a:ln>
            <a:effectLst/>
          </c:spPr>
          <c:marker>
            <c:symbol val="none"/>
          </c:marker>
          <c:cat>
            <c:numRef>
              <c:f>Sheet1!$B$10:$B$24</c:f>
              <c:numCache>
                <c:formatCode>mmm\-yy</c:formatCode>
                <c:ptCount val="15"/>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numCache>
            </c:numRef>
          </c:cat>
          <c:val>
            <c:numRef>
              <c:f>Sheet1!$F$10:$F$24</c:f>
              <c:numCache>
                <c:formatCode>General</c:formatCode>
                <c:ptCount val="15"/>
                <c:pt idx="0">
                  <c:v>1.27142</c:v>
                </c:pt>
                <c:pt idx="1">
                  <c:v>1.25756</c:v>
                </c:pt>
                <c:pt idx="2">
                  <c:v>1.24413</c:v>
                </c:pt>
                <c:pt idx="3">
                  <c:v>1.24196</c:v>
                </c:pt>
                <c:pt idx="4">
                  <c:v>1.27084</c:v>
                </c:pt>
                <c:pt idx="5">
                  <c:v>1.31734</c:v>
                </c:pt>
                <c:pt idx="6">
                  <c:v>1.30945</c:v>
                </c:pt>
                <c:pt idx="7">
                  <c:v>1.30667</c:v>
                </c:pt>
                <c:pt idx="8">
                  <c:v>1.3174300000000001</c:v>
                </c:pt>
                <c:pt idx="9">
                  <c:v>1.3374900000000001</c:v>
                </c:pt>
                <c:pt idx="10">
                  <c:v>1.3639300000000001</c:v>
                </c:pt>
                <c:pt idx="11">
                  <c:v>1.36622</c:v>
                </c:pt>
                <c:pt idx="12">
                  <c:v>3.0714600000000001</c:v>
                </c:pt>
                <c:pt idx="13">
                  <c:v>3.12697</c:v>
                </c:pt>
                <c:pt idx="14" formatCode="0.00000">
                  <c:v>3.1952218233827634</c:v>
                </c:pt>
              </c:numCache>
            </c:numRef>
          </c:val>
          <c:smooth val="0"/>
          <c:extLst>
            <c:ext xmlns:c16="http://schemas.microsoft.com/office/drawing/2014/chart" uri="{C3380CC4-5D6E-409C-BE32-E72D297353CC}">
              <c16:uniqueId val="{00000003-4AB1-46C4-A422-11EAA81A2DB6}"/>
            </c:ext>
          </c:extLst>
        </c:ser>
        <c:dLbls>
          <c:showLegendKey val="0"/>
          <c:showVal val="0"/>
          <c:showCatName val="0"/>
          <c:showSerName val="0"/>
          <c:showPercent val="0"/>
          <c:showBubbleSize val="0"/>
        </c:dLbls>
        <c:smooth val="0"/>
        <c:axId val="-97123440"/>
        <c:axId val="-97134864"/>
      </c:lineChart>
      <c:dateAx>
        <c:axId val="-9712344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134864"/>
        <c:crosses val="autoZero"/>
        <c:auto val="1"/>
        <c:lblOffset val="100"/>
        <c:baseTimeUnit val="months"/>
      </c:dateAx>
      <c:valAx>
        <c:axId val="-971348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123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numRef>
              <c:f>'[Monetary Surverys 15.03.2019.xlsx]Depository Corporations Survey'!$BN$6:$BZ$6</c:f>
              <c:numCache>
                <c:formatCode>[$-409]mmm\-yy;@</c:formatCode>
                <c:ptCount val="13"/>
                <c:pt idx="0">
                  <c:v>43070</c:v>
                </c:pt>
                <c:pt idx="1">
                  <c:v>43101</c:v>
                </c:pt>
                <c:pt idx="2">
                  <c:v>43132</c:v>
                </c:pt>
                <c:pt idx="3">
                  <c:v>43160</c:v>
                </c:pt>
                <c:pt idx="4">
                  <c:v>43220</c:v>
                </c:pt>
                <c:pt idx="5">
                  <c:v>43221</c:v>
                </c:pt>
                <c:pt idx="6">
                  <c:v>43253</c:v>
                </c:pt>
                <c:pt idx="7">
                  <c:v>43284</c:v>
                </c:pt>
                <c:pt idx="8">
                  <c:v>43316</c:v>
                </c:pt>
                <c:pt idx="9">
                  <c:v>43348</c:v>
                </c:pt>
                <c:pt idx="10">
                  <c:v>43379</c:v>
                </c:pt>
                <c:pt idx="11">
                  <c:v>43411</c:v>
                </c:pt>
                <c:pt idx="12">
                  <c:v>43442</c:v>
                </c:pt>
              </c:numCache>
            </c:numRef>
          </c:cat>
          <c:val>
            <c:numRef>
              <c:f>'[Monetary Surverys 15.03.2019.xlsx]Depository Corporations Survey'!$BN$5:$BZ$5</c:f>
              <c:numCache>
                <c:formatCode>0.00_)</c:formatCode>
                <c:ptCount val="13"/>
                <c:pt idx="0">
                  <c:v>38.64648853294279</c:v>
                </c:pt>
                <c:pt idx="1">
                  <c:v>33.222012669463695</c:v>
                </c:pt>
                <c:pt idx="2">
                  <c:v>30.493442147644178</c:v>
                </c:pt>
                <c:pt idx="3">
                  <c:v>30.839979467085342</c:v>
                </c:pt>
                <c:pt idx="4">
                  <c:v>27.887144445991897</c:v>
                </c:pt>
                <c:pt idx="5">
                  <c:v>33.20235740870001</c:v>
                </c:pt>
                <c:pt idx="6">
                  <c:v>36.226234951871831</c:v>
                </c:pt>
                <c:pt idx="7">
                  <c:v>42.956341202908547</c:v>
                </c:pt>
                <c:pt idx="8">
                  <c:v>34.222019704545879</c:v>
                </c:pt>
                <c:pt idx="9">
                  <c:v>31.657851556161454</c:v>
                </c:pt>
                <c:pt idx="10">
                  <c:v>27.012673268931842</c:v>
                </c:pt>
                <c:pt idx="11">
                  <c:v>26.658838208489843</c:v>
                </c:pt>
                <c:pt idx="12">
                  <c:v>28.048464472429991</c:v>
                </c:pt>
              </c:numCache>
            </c:numRef>
          </c:val>
          <c:smooth val="0"/>
          <c:extLst>
            <c:ext xmlns:c16="http://schemas.microsoft.com/office/drawing/2014/chart" uri="{C3380CC4-5D6E-409C-BE32-E72D297353CC}">
              <c16:uniqueId val="{00000000-7BF8-400B-BD84-0447632418A5}"/>
            </c:ext>
          </c:extLst>
        </c:ser>
        <c:dLbls>
          <c:showLegendKey val="0"/>
          <c:showVal val="0"/>
          <c:showCatName val="0"/>
          <c:showSerName val="0"/>
          <c:showPercent val="0"/>
          <c:showBubbleSize val="0"/>
        </c:dLbls>
        <c:smooth val="0"/>
        <c:axId val="-1693005952"/>
        <c:axId val="-1693009760"/>
      </c:lineChart>
      <c:dateAx>
        <c:axId val="-1693005952"/>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3009760"/>
        <c:crosses val="autoZero"/>
        <c:auto val="1"/>
        <c:lblOffset val="100"/>
        <c:baseTimeUnit val="days"/>
      </c:dateAx>
      <c:valAx>
        <c:axId val="-1693009760"/>
        <c:scaling>
          <c:orientation val="minMax"/>
        </c:scaling>
        <c:delete val="0"/>
        <c:axPos val="l"/>
        <c:numFmt formatCode="0.00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3005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94132588265177"/>
          <c:y val="6.7631492300021648E-2"/>
          <c:w val="0.86748878164422993"/>
          <c:h val="0.67277058109671772"/>
        </c:manualLayout>
      </c:layout>
      <c:lineChart>
        <c:grouping val="standard"/>
        <c:varyColors val="0"/>
        <c:ser>
          <c:idx val="0"/>
          <c:order val="0"/>
          <c:tx>
            <c:v>Headline </c:v>
          </c:tx>
          <c:spPr>
            <a:ln w="38100" cap="rnd">
              <a:solidFill>
                <a:schemeClr val="accent1"/>
              </a:solidFill>
              <a:round/>
            </a:ln>
            <a:effectLst/>
          </c:spPr>
          <c:marker>
            <c:symbol val="none"/>
          </c:marker>
          <c:cat>
            <c:numRef>
              <c:f>'Tradable and Non Tradables '!$DM$3:$EA$3</c:f>
              <c:numCache>
                <c:formatCode>mmm\-yy</c:formatCode>
                <c:ptCount val="15"/>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numCache>
            </c:numRef>
          </c:cat>
          <c:val>
            <c:numRef>
              <c:f>'Tradable and Non Tradables '!$DM$143:$EA$143</c:f>
              <c:numCache>
                <c:formatCode>_(* #,##0.00_);_(* \(#,##0.00\);_(* "-"??_);_(@_)</c:formatCode>
                <c:ptCount val="15"/>
                <c:pt idx="0">
                  <c:v>3.5223565626566256</c:v>
                </c:pt>
                <c:pt idx="1">
                  <c:v>2.9752429305622163</c:v>
                </c:pt>
                <c:pt idx="2">
                  <c:v>2.6827512055836999</c:v>
                </c:pt>
                <c:pt idx="3">
                  <c:v>2.7121713620765764</c:v>
                </c:pt>
                <c:pt idx="4">
                  <c:v>2.7117541946855006</c:v>
                </c:pt>
                <c:pt idx="5">
                  <c:v>2.9086189416631214</c:v>
                </c:pt>
                <c:pt idx="6">
                  <c:v>4.2865951788096934</c:v>
                </c:pt>
                <c:pt idx="7">
                  <c:v>4.8288330141175173</c:v>
                </c:pt>
                <c:pt idx="8">
                  <c:v>5.3903088775004271</c:v>
                </c:pt>
                <c:pt idx="9">
                  <c:v>20.854126323373801</c:v>
                </c:pt>
                <c:pt idx="10">
                  <c:v>31.005289232223141</c:v>
                </c:pt>
                <c:pt idx="11">
                  <c:v>42.08751642780355</c:v>
                </c:pt>
                <c:pt idx="12">
                  <c:v>56.896928597494821</c:v>
                </c:pt>
                <c:pt idx="13">
                  <c:v>59.391548726043133</c:v>
                </c:pt>
                <c:pt idx="14">
                  <c:v>66.796172906109177</c:v>
                </c:pt>
              </c:numCache>
            </c:numRef>
          </c:val>
          <c:smooth val="0"/>
          <c:extLst>
            <c:ext xmlns:c16="http://schemas.microsoft.com/office/drawing/2014/chart" uri="{C3380CC4-5D6E-409C-BE32-E72D297353CC}">
              <c16:uniqueId val="{00000000-9781-44A0-B569-A2E31467480C}"/>
            </c:ext>
          </c:extLst>
        </c:ser>
        <c:ser>
          <c:idx val="1"/>
          <c:order val="1"/>
          <c:tx>
            <c:v>Tradables </c:v>
          </c:tx>
          <c:spPr>
            <a:ln w="22225" cap="rnd">
              <a:solidFill>
                <a:schemeClr val="accent2"/>
              </a:solidFill>
              <a:round/>
            </a:ln>
            <a:effectLst/>
          </c:spPr>
          <c:marker>
            <c:symbol val="none"/>
          </c:marker>
          <c:cat>
            <c:numRef>
              <c:f>'Tradable and Non Tradables '!$DM$3:$EA$3</c:f>
              <c:numCache>
                <c:formatCode>mmm\-yy</c:formatCode>
                <c:ptCount val="15"/>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numCache>
            </c:numRef>
          </c:cat>
          <c:val>
            <c:numRef>
              <c:f>'Tradable and Non Tradables '!$DM$144:$EA$144</c:f>
              <c:numCache>
                <c:formatCode>_(* #,##0.00_);_(* \(#,##0.00\);_(* "-"??_);_(@_)</c:formatCode>
                <c:ptCount val="15"/>
                <c:pt idx="0">
                  <c:v>6.1728081573455107</c:v>
                </c:pt>
                <c:pt idx="1">
                  <c:v>4.3490176283625059</c:v>
                </c:pt>
                <c:pt idx="2">
                  <c:v>4.5388795082621947</c:v>
                </c:pt>
                <c:pt idx="3">
                  <c:v>4.9378997096490629</c:v>
                </c:pt>
                <c:pt idx="4">
                  <c:v>4.8874234736943301</c:v>
                </c:pt>
                <c:pt idx="5">
                  <c:v>5.1188801765728487</c:v>
                </c:pt>
                <c:pt idx="6">
                  <c:v>6.3456161304501935</c:v>
                </c:pt>
                <c:pt idx="7">
                  <c:v>7.5154400580179637</c:v>
                </c:pt>
                <c:pt idx="8">
                  <c:v>7.9363236052720332</c:v>
                </c:pt>
                <c:pt idx="9">
                  <c:v>26.784060483607732</c:v>
                </c:pt>
                <c:pt idx="10">
                  <c:v>42.713990834852567</c:v>
                </c:pt>
                <c:pt idx="11">
                  <c:v>53.681109155995685</c:v>
                </c:pt>
                <c:pt idx="12">
                  <c:v>63.706776885902293</c:v>
                </c:pt>
                <c:pt idx="13">
                  <c:v>69.840238957238824</c:v>
                </c:pt>
                <c:pt idx="14">
                  <c:v>78.553213554199203</c:v>
                </c:pt>
              </c:numCache>
            </c:numRef>
          </c:val>
          <c:smooth val="0"/>
          <c:extLst>
            <c:ext xmlns:c16="http://schemas.microsoft.com/office/drawing/2014/chart" uri="{C3380CC4-5D6E-409C-BE32-E72D297353CC}">
              <c16:uniqueId val="{00000001-9781-44A0-B569-A2E31467480C}"/>
            </c:ext>
          </c:extLst>
        </c:ser>
        <c:ser>
          <c:idx val="2"/>
          <c:order val="2"/>
          <c:tx>
            <c:strRef>
              <c:f>'Tradable and Non Tradables '!$A$145</c:f>
              <c:strCache>
                <c:ptCount val="1"/>
                <c:pt idx="0">
                  <c:v>Non-Tradable </c:v>
                </c:pt>
              </c:strCache>
            </c:strRef>
          </c:tx>
          <c:spPr>
            <a:ln w="22225" cap="rnd">
              <a:solidFill>
                <a:schemeClr val="accent3"/>
              </a:solidFill>
              <a:prstDash val="sysDash"/>
              <a:round/>
            </a:ln>
            <a:effectLst/>
          </c:spPr>
          <c:marker>
            <c:symbol val="none"/>
          </c:marker>
          <c:cat>
            <c:numRef>
              <c:f>'Tradable and Non Tradables '!$DM$3:$EA$3</c:f>
              <c:numCache>
                <c:formatCode>mmm\-yy</c:formatCode>
                <c:ptCount val="15"/>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numCache>
            </c:numRef>
          </c:cat>
          <c:val>
            <c:numRef>
              <c:f>'Tradable and Non Tradables '!$DM$145:$EA$145</c:f>
              <c:numCache>
                <c:formatCode>_(* #,##0.00_);_(* \(#,##0.00\);_(* "-"??_);_(@_)</c:formatCode>
                <c:ptCount val="15"/>
                <c:pt idx="0">
                  <c:v>2.4544014779365186</c:v>
                </c:pt>
                <c:pt idx="1">
                  <c:v>2.414355080938213</c:v>
                </c:pt>
                <c:pt idx="2">
                  <c:v>2.3715929434782179</c:v>
                </c:pt>
                <c:pt idx="3">
                  <c:v>2.2596952810482795</c:v>
                </c:pt>
                <c:pt idx="4">
                  <c:v>2.2797407225455757</c:v>
                </c:pt>
                <c:pt idx="5">
                  <c:v>2.4786225911234805</c:v>
                </c:pt>
                <c:pt idx="6">
                  <c:v>3.9409835133928928</c:v>
                </c:pt>
                <c:pt idx="7">
                  <c:v>4.2205006459312466</c:v>
                </c:pt>
                <c:pt idx="8">
                  <c:v>4.8279541000260551</c:v>
                </c:pt>
                <c:pt idx="9">
                  <c:v>18.712922266244124</c:v>
                </c:pt>
                <c:pt idx="10">
                  <c:v>26.017253947638697</c:v>
                </c:pt>
                <c:pt idx="11">
                  <c:v>37.077578415165057</c:v>
                </c:pt>
                <c:pt idx="12">
                  <c:v>54.262673464840042</c:v>
                </c:pt>
                <c:pt idx="13">
                  <c:v>55.044946449474928</c:v>
                </c:pt>
                <c:pt idx="14">
                  <c:v>61.187733815541925</c:v>
                </c:pt>
              </c:numCache>
            </c:numRef>
          </c:val>
          <c:smooth val="0"/>
          <c:extLst>
            <c:ext xmlns:c16="http://schemas.microsoft.com/office/drawing/2014/chart" uri="{C3380CC4-5D6E-409C-BE32-E72D297353CC}">
              <c16:uniqueId val="{00000002-9781-44A0-B569-A2E31467480C}"/>
            </c:ext>
          </c:extLst>
        </c:ser>
        <c:dLbls>
          <c:showLegendKey val="0"/>
          <c:showVal val="0"/>
          <c:showCatName val="0"/>
          <c:showSerName val="0"/>
          <c:showPercent val="0"/>
          <c:showBubbleSize val="0"/>
        </c:dLbls>
        <c:smooth val="0"/>
        <c:axId val="-69107216"/>
        <c:axId val="-69119184"/>
      </c:lineChart>
      <c:dateAx>
        <c:axId val="-69107216"/>
        <c:scaling>
          <c:orientation val="minMax"/>
        </c:scaling>
        <c:delete val="0"/>
        <c:axPos val="b"/>
        <c:numFmt formatCode="m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19184"/>
        <c:crosses val="autoZero"/>
        <c:auto val="1"/>
        <c:lblOffset val="100"/>
        <c:baseTimeUnit val="months"/>
      </c:dateAx>
      <c:valAx>
        <c:axId val="-69119184"/>
        <c:scaling>
          <c:orientation val="minMax"/>
        </c:scaling>
        <c:delete val="0"/>
        <c:axPos val="l"/>
        <c:numFmt formatCode="_(* #,##0.00_);_(* \(#,##0.00\);_(* &quot;-&quot;??_);_(@_)"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07216"/>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206036745406826E-2"/>
          <c:y val="5.0228310502283102E-2"/>
          <c:w val="0.8762384076990376"/>
          <c:h val="0.61202279509581858"/>
        </c:manualLayout>
      </c:layout>
      <c:barChart>
        <c:barDir val="col"/>
        <c:grouping val="stacked"/>
        <c:varyColors val="0"/>
        <c:ser>
          <c:idx val="0"/>
          <c:order val="0"/>
          <c:tx>
            <c:v>Food </c:v>
          </c:tx>
          <c:spPr>
            <a:solidFill>
              <a:srgbClr val="4F81BD"/>
            </a:solidFill>
            <a:ln w="25400">
              <a:noFill/>
            </a:ln>
          </c:spPr>
          <c:invertIfNegative val="0"/>
          <c:cat>
            <c:numRef>
              <c:f>Contributions!$B$111:$B$126</c:f>
              <c:numCache>
                <c:formatCode>mmm\-yy</c:formatCode>
                <c:ptCount val="16"/>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pt idx="13">
                  <c:v>43466</c:v>
                </c:pt>
                <c:pt idx="14">
                  <c:v>43497</c:v>
                </c:pt>
                <c:pt idx="15">
                  <c:v>43525</c:v>
                </c:pt>
              </c:numCache>
            </c:numRef>
          </c:cat>
          <c:val>
            <c:numRef>
              <c:f>Contributions!$AE$111:$AE$126</c:f>
              <c:numCache>
                <c:formatCode>0.0</c:formatCode>
                <c:ptCount val="16"/>
                <c:pt idx="0">
                  <c:v>2.0818169059017375</c:v>
                </c:pt>
                <c:pt idx="1">
                  <c:v>1.9474182829522766</c:v>
                </c:pt>
                <c:pt idx="2">
                  <c:v>1.3684178251384198</c:v>
                </c:pt>
                <c:pt idx="3">
                  <c:v>1.4313187838076573</c:v>
                </c:pt>
                <c:pt idx="4">
                  <c:v>1.5561688569137697</c:v>
                </c:pt>
                <c:pt idx="5">
                  <c:v>1.5401241971103383</c:v>
                </c:pt>
                <c:pt idx="6">
                  <c:v>1.6101016593641837</c:v>
                </c:pt>
                <c:pt idx="7">
                  <c:v>1.9913079049821036</c:v>
                </c:pt>
                <c:pt idx="8">
                  <c:v>2.3639531691157734</c:v>
                </c:pt>
                <c:pt idx="9">
                  <c:v>2.4996513955920192</c:v>
                </c:pt>
                <c:pt idx="10">
                  <c:v>8.7028944369517482</c:v>
                </c:pt>
                <c:pt idx="11">
                  <c:v>14.556226228547771</c:v>
                </c:pt>
                <c:pt idx="12">
                  <c:v>18.300785777980799</c:v>
                </c:pt>
                <c:pt idx="13">
                  <c:v>20.970766885659955</c:v>
                </c:pt>
                <c:pt idx="14">
                  <c:v>23.415776977188703</c:v>
                </c:pt>
                <c:pt idx="15">
                  <c:v>26.517541827957302</c:v>
                </c:pt>
              </c:numCache>
            </c:numRef>
          </c:val>
          <c:extLst>
            <c:ext xmlns:c16="http://schemas.microsoft.com/office/drawing/2014/chart" uri="{C3380CC4-5D6E-409C-BE32-E72D297353CC}">
              <c16:uniqueId val="{00000000-3010-4E04-B56B-BBA3574BF935}"/>
            </c:ext>
          </c:extLst>
        </c:ser>
        <c:ser>
          <c:idx val="1"/>
          <c:order val="1"/>
          <c:tx>
            <c:v>Acoholic beverages</c:v>
          </c:tx>
          <c:spPr>
            <a:solidFill>
              <a:srgbClr val="C0504D"/>
            </a:solidFill>
            <a:ln w="25400">
              <a:noFill/>
            </a:ln>
          </c:spPr>
          <c:invertIfNegative val="0"/>
          <c:cat>
            <c:numRef>
              <c:f>Contributions!$B$111:$B$126</c:f>
              <c:numCache>
                <c:formatCode>mmm\-yy</c:formatCode>
                <c:ptCount val="16"/>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pt idx="13">
                  <c:v>43466</c:v>
                </c:pt>
                <c:pt idx="14">
                  <c:v>43497</c:v>
                </c:pt>
                <c:pt idx="15">
                  <c:v>43525</c:v>
                </c:pt>
              </c:numCache>
            </c:numRef>
          </c:cat>
          <c:val>
            <c:numRef>
              <c:f>Contributions!$AF$111:$AF$126</c:f>
              <c:numCache>
                <c:formatCode>0.0</c:formatCode>
                <c:ptCount val="16"/>
                <c:pt idx="0">
                  <c:v>6.9670888957659008E-2</c:v>
                </c:pt>
                <c:pt idx="1">
                  <c:v>8.4212401914854434E-2</c:v>
                </c:pt>
                <c:pt idx="2">
                  <c:v>9.4219024059724391E-2</c:v>
                </c:pt>
                <c:pt idx="3">
                  <c:v>9.3449583830086433E-2</c:v>
                </c:pt>
                <c:pt idx="4">
                  <c:v>0.10848081364198472</c:v>
                </c:pt>
                <c:pt idx="5">
                  <c:v>0.10119103310246348</c:v>
                </c:pt>
                <c:pt idx="6">
                  <c:v>0.12034798311059929</c:v>
                </c:pt>
                <c:pt idx="7">
                  <c:v>0.13133196378189127</c:v>
                </c:pt>
                <c:pt idx="8">
                  <c:v>0.14589541877124057</c:v>
                </c:pt>
                <c:pt idx="9">
                  <c:v>0.15421150688496207</c:v>
                </c:pt>
                <c:pt idx="10">
                  <c:v>0.46067092476426053</c:v>
                </c:pt>
                <c:pt idx="11">
                  <c:v>0.77275361072708493</c:v>
                </c:pt>
                <c:pt idx="12">
                  <c:v>1.2775102189025906</c:v>
                </c:pt>
                <c:pt idx="13">
                  <c:v>2.0493351018988566</c:v>
                </c:pt>
                <c:pt idx="14">
                  <c:v>2.2475822208693459</c:v>
                </c:pt>
                <c:pt idx="15">
                  <c:v>3.4870369261628138</c:v>
                </c:pt>
              </c:numCache>
            </c:numRef>
          </c:val>
          <c:extLst>
            <c:ext xmlns:c16="http://schemas.microsoft.com/office/drawing/2014/chart" uri="{C3380CC4-5D6E-409C-BE32-E72D297353CC}">
              <c16:uniqueId val="{00000001-3010-4E04-B56B-BBA3574BF935}"/>
            </c:ext>
          </c:extLst>
        </c:ser>
        <c:ser>
          <c:idx val="2"/>
          <c:order val="2"/>
          <c:tx>
            <c:v>Clothing</c:v>
          </c:tx>
          <c:spPr>
            <a:solidFill>
              <a:srgbClr val="9BBB59"/>
            </a:solidFill>
            <a:ln w="25400">
              <a:noFill/>
            </a:ln>
          </c:spPr>
          <c:invertIfNegative val="0"/>
          <c:cat>
            <c:numRef>
              <c:f>Contributions!$B$111:$B$126</c:f>
              <c:numCache>
                <c:formatCode>mmm\-yy</c:formatCode>
                <c:ptCount val="16"/>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pt idx="13">
                  <c:v>43466</c:v>
                </c:pt>
                <c:pt idx="14">
                  <c:v>43497</c:v>
                </c:pt>
                <c:pt idx="15">
                  <c:v>43525</c:v>
                </c:pt>
              </c:numCache>
            </c:numRef>
          </c:cat>
          <c:val>
            <c:numRef>
              <c:f>Contributions!$AG$111:$AG$126</c:f>
              <c:numCache>
                <c:formatCode>0.0</c:formatCode>
                <c:ptCount val="16"/>
                <c:pt idx="0">
                  <c:v>0.16289264860061092</c:v>
                </c:pt>
                <c:pt idx="1">
                  <c:v>0.20587363575979489</c:v>
                </c:pt>
                <c:pt idx="2">
                  <c:v>0.26255192140694422</c:v>
                </c:pt>
                <c:pt idx="3">
                  <c:v>0.24236446175157575</c:v>
                </c:pt>
                <c:pt idx="4">
                  <c:v>0.25966631015627822</c:v>
                </c:pt>
                <c:pt idx="5">
                  <c:v>0.26031476887229671</c:v>
                </c:pt>
                <c:pt idx="6">
                  <c:v>0.26659660461880708</c:v>
                </c:pt>
                <c:pt idx="7">
                  <c:v>0.2847774829740366</c:v>
                </c:pt>
                <c:pt idx="8">
                  <c:v>0.30349362566191634</c:v>
                </c:pt>
                <c:pt idx="9">
                  <c:v>0.35272405870712037</c:v>
                </c:pt>
                <c:pt idx="10">
                  <c:v>3.4105568728259055</c:v>
                </c:pt>
                <c:pt idx="11">
                  <c:v>4.4378065314801258</c:v>
                </c:pt>
                <c:pt idx="12">
                  <c:v>5.183370961143245</c:v>
                </c:pt>
                <c:pt idx="13">
                  <c:v>4.7664596391274667</c:v>
                </c:pt>
                <c:pt idx="14">
                  <c:v>5.5162415594668905</c:v>
                </c:pt>
                <c:pt idx="15">
                  <c:v>6.2714292994715812</c:v>
                </c:pt>
              </c:numCache>
            </c:numRef>
          </c:val>
          <c:extLst>
            <c:ext xmlns:c16="http://schemas.microsoft.com/office/drawing/2014/chart" uri="{C3380CC4-5D6E-409C-BE32-E72D297353CC}">
              <c16:uniqueId val="{00000002-3010-4E04-B56B-BBA3574BF935}"/>
            </c:ext>
          </c:extLst>
        </c:ser>
        <c:ser>
          <c:idx val="3"/>
          <c:order val="3"/>
          <c:tx>
            <c:v>Housing, water and fuels</c:v>
          </c:tx>
          <c:spPr>
            <a:solidFill>
              <a:srgbClr val="8064A2"/>
            </a:solidFill>
            <a:ln w="25400">
              <a:noFill/>
            </a:ln>
          </c:spPr>
          <c:invertIfNegative val="0"/>
          <c:cat>
            <c:numRef>
              <c:f>Contributions!$B$111:$B$126</c:f>
              <c:numCache>
                <c:formatCode>mmm\-yy</c:formatCode>
                <c:ptCount val="16"/>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pt idx="13">
                  <c:v>43466</c:v>
                </c:pt>
                <c:pt idx="14">
                  <c:v>43497</c:v>
                </c:pt>
                <c:pt idx="15">
                  <c:v>43525</c:v>
                </c:pt>
              </c:numCache>
            </c:numRef>
          </c:cat>
          <c:val>
            <c:numRef>
              <c:f>Contributions!$AH$111:$AH$126</c:f>
              <c:numCache>
                <c:formatCode>0.0</c:formatCode>
                <c:ptCount val="16"/>
                <c:pt idx="0">
                  <c:v>-0.10722446203901241</c:v>
                </c:pt>
                <c:pt idx="1">
                  <c:v>-0.1254158303821733</c:v>
                </c:pt>
                <c:pt idx="2">
                  <c:v>-0.15598145918568054</c:v>
                </c:pt>
                <c:pt idx="3">
                  <c:v>-0.31375857377728933</c:v>
                </c:pt>
                <c:pt idx="4">
                  <c:v>-0.32359105584917264</c:v>
                </c:pt>
                <c:pt idx="5">
                  <c:v>-0.32302696608315151</c:v>
                </c:pt>
                <c:pt idx="6">
                  <c:v>-0.16635297419281747</c:v>
                </c:pt>
                <c:pt idx="7">
                  <c:v>-0.167224924624849</c:v>
                </c:pt>
                <c:pt idx="8">
                  <c:v>-0.17907755215840801</c:v>
                </c:pt>
                <c:pt idx="9">
                  <c:v>-0.10930356232235028</c:v>
                </c:pt>
                <c:pt idx="10">
                  <c:v>0.45380820108869613</c:v>
                </c:pt>
                <c:pt idx="11">
                  <c:v>1.3923126368299912</c:v>
                </c:pt>
                <c:pt idx="12">
                  <c:v>1.9527444349370651</c:v>
                </c:pt>
                <c:pt idx="13">
                  <c:v>2.6802334425852026</c:v>
                </c:pt>
                <c:pt idx="14">
                  <c:v>3.275584763260964</c:v>
                </c:pt>
                <c:pt idx="15">
                  <c:v>3.8513679924738899</c:v>
                </c:pt>
              </c:numCache>
            </c:numRef>
          </c:val>
          <c:extLst>
            <c:ext xmlns:c16="http://schemas.microsoft.com/office/drawing/2014/chart" uri="{C3380CC4-5D6E-409C-BE32-E72D297353CC}">
              <c16:uniqueId val="{00000003-3010-4E04-B56B-BBA3574BF935}"/>
            </c:ext>
          </c:extLst>
        </c:ser>
        <c:ser>
          <c:idx val="4"/>
          <c:order val="4"/>
          <c:tx>
            <c:v>Furniture</c:v>
          </c:tx>
          <c:spPr>
            <a:solidFill>
              <a:srgbClr val="4BACC6"/>
            </a:solidFill>
            <a:ln w="25400">
              <a:noFill/>
            </a:ln>
          </c:spPr>
          <c:invertIfNegative val="0"/>
          <c:cat>
            <c:numRef>
              <c:f>Contributions!$B$111:$B$126</c:f>
              <c:numCache>
                <c:formatCode>mmm\-yy</c:formatCode>
                <c:ptCount val="16"/>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pt idx="13">
                  <c:v>43466</c:v>
                </c:pt>
                <c:pt idx="14">
                  <c:v>43497</c:v>
                </c:pt>
                <c:pt idx="15">
                  <c:v>43525</c:v>
                </c:pt>
              </c:numCache>
            </c:numRef>
          </c:cat>
          <c:val>
            <c:numRef>
              <c:f>Contributions!$AI$111:$AI$126</c:f>
              <c:numCache>
                <c:formatCode>0.0</c:formatCode>
                <c:ptCount val="16"/>
                <c:pt idx="0">
                  <c:v>0.78745862106560083</c:v>
                </c:pt>
                <c:pt idx="1">
                  <c:v>0.81000416229650152</c:v>
                </c:pt>
                <c:pt idx="2">
                  <c:v>0.78653819502737743</c:v>
                </c:pt>
                <c:pt idx="3">
                  <c:v>0.77482365199237124</c:v>
                </c:pt>
                <c:pt idx="4">
                  <c:v>0.76794927785058276</c:v>
                </c:pt>
                <c:pt idx="5">
                  <c:v>0.75291090884052547</c:v>
                </c:pt>
                <c:pt idx="6">
                  <c:v>0.66545483362562763</c:v>
                </c:pt>
                <c:pt idx="7">
                  <c:v>0.70591643211583832</c:v>
                </c:pt>
                <c:pt idx="8">
                  <c:v>0.79317557437113739</c:v>
                </c:pt>
                <c:pt idx="9">
                  <c:v>0.97504599830483851</c:v>
                </c:pt>
                <c:pt idx="10">
                  <c:v>3.5650101581380222</c:v>
                </c:pt>
                <c:pt idx="11">
                  <c:v>4.6080605054049864</c:v>
                </c:pt>
                <c:pt idx="12">
                  <c:v>5.6660041307592124</c:v>
                </c:pt>
                <c:pt idx="13">
                  <c:v>6.9648455249661376</c:v>
                </c:pt>
                <c:pt idx="14">
                  <c:v>7.426102075756619</c:v>
                </c:pt>
                <c:pt idx="15">
                  <c:v>8.3095744972389571</c:v>
                </c:pt>
              </c:numCache>
            </c:numRef>
          </c:val>
          <c:extLst>
            <c:ext xmlns:c16="http://schemas.microsoft.com/office/drawing/2014/chart" uri="{C3380CC4-5D6E-409C-BE32-E72D297353CC}">
              <c16:uniqueId val="{00000004-3010-4E04-B56B-BBA3574BF935}"/>
            </c:ext>
          </c:extLst>
        </c:ser>
        <c:ser>
          <c:idx val="5"/>
          <c:order val="5"/>
          <c:tx>
            <c:v>health</c:v>
          </c:tx>
          <c:spPr>
            <a:solidFill>
              <a:srgbClr val="F79646"/>
            </a:solidFill>
            <a:ln w="25400">
              <a:noFill/>
            </a:ln>
          </c:spPr>
          <c:invertIfNegative val="0"/>
          <c:cat>
            <c:numRef>
              <c:f>Contributions!$B$111:$B$126</c:f>
              <c:numCache>
                <c:formatCode>mmm\-yy</c:formatCode>
                <c:ptCount val="16"/>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pt idx="13">
                  <c:v>43466</c:v>
                </c:pt>
                <c:pt idx="14">
                  <c:v>43497</c:v>
                </c:pt>
                <c:pt idx="15">
                  <c:v>43525</c:v>
                </c:pt>
              </c:numCache>
            </c:numRef>
          </c:cat>
          <c:val>
            <c:numRef>
              <c:f>Contributions!$AJ$111:$AJ$126</c:f>
              <c:numCache>
                <c:formatCode>0.0</c:formatCode>
                <c:ptCount val="16"/>
                <c:pt idx="0">
                  <c:v>3.6208899095994791E-2</c:v>
                </c:pt>
                <c:pt idx="1">
                  <c:v>4.1821544053298181E-2</c:v>
                </c:pt>
                <c:pt idx="2">
                  <c:v>4.2295383335448508E-2</c:v>
                </c:pt>
                <c:pt idx="3">
                  <c:v>4.4096940209633215E-2</c:v>
                </c:pt>
                <c:pt idx="4">
                  <c:v>4.7525555343234584E-2</c:v>
                </c:pt>
                <c:pt idx="5">
                  <c:v>4.5129340604247385E-2</c:v>
                </c:pt>
                <c:pt idx="6">
                  <c:v>5.5034265820845328E-2</c:v>
                </c:pt>
                <c:pt idx="7">
                  <c:v>6.1565900473573833E-2</c:v>
                </c:pt>
                <c:pt idx="8">
                  <c:v>6.6398497318084143E-2</c:v>
                </c:pt>
                <c:pt idx="9">
                  <c:v>0.11055271714664493</c:v>
                </c:pt>
                <c:pt idx="10">
                  <c:v>0.38396501366018532</c:v>
                </c:pt>
                <c:pt idx="11">
                  <c:v>0.43745747358157011</c:v>
                </c:pt>
                <c:pt idx="12">
                  <c:v>0.65196099215858927</c:v>
                </c:pt>
                <c:pt idx="13">
                  <c:v>0.9791456542679845</c:v>
                </c:pt>
                <c:pt idx="14">
                  <c:v>1.0836392790372953</c:v>
                </c:pt>
                <c:pt idx="15">
                  <c:v>1.1292762590538721</c:v>
                </c:pt>
              </c:numCache>
            </c:numRef>
          </c:val>
          <c:extLst>
            <c:ext xmlns:c16="http://schemas.microsoft.com/office/drawing/2014/chart" uri="{C3380CC4-5D6E-409C-BE32-E72D297353CC}">
              <c16:uniqueId val="{00000005-3010-4E04-B56B-BBA3574BF935}"/>
            </c:ext>
          </c:extLst>
        </c:ser>
        <c:ser>
          <c:idx val="6"/>
          <c:order val="6"/>
          <c:tx>
            <c:v>Transport</c:v>
          </c:tx>
          <c:spPr>
            <a:solidFill>
              <a:schemeClr val="accent1">
                <a:lumMod val="60000"/>
              </a:schemeClr>
            </a:solidFill>
            <a:ln>
              <a:noFill/>
            </a:ln>
            <a:effectLst/>
          </c:spPr>
          <c:invertIfNegative val="0"/>
          <c:cat>
            <c:numRef>
              <c:f>Contributions!$B$111:$B$126</c:f>
              <c:numCache>
                <c:formatCode>mmm\-yy</c:formatCode>
                <c:ptCount val="16"/>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pt idx="13">
                  <c:v>43466</c:v>
                </c:pt>
                <c:pt idx="14">
                  <c:v>43497</c:v>
                </c:pt>
                <c:pt idx="15">
                  <c:v>43525</c:v>
                </c:pt>
              </c:numCache>
            </c:numRef>
          </c:cat>
          <c:val>
            <c:numRef>
              <c:f>Contributions!$AK$111:$AK$126</c:f>
              <c:numCache>
                <c:formatCode>0.0</c:formatCode>
                <c:ptCount val="16"/>
                <c:pt idx="0">
                  <c:v>4.0237025938718134E-2</c:v>
                </c:pt>
                <c:pt idx="1">
                  <c:v>9.5306027765040838E-2</c:v>
                </c:pt>
                <c:pt idx="2">
                  <c:v>8.5697748596404444E-2</c:v>
                </c:pt>
                <c:pt idx="3">
                  <c:v>-2.5337222222024339E-2</c:v>
                </c:pt>
                <c:pt idx="4">
                  <c:v>-4.8481246922622345E-2</c:v>
                </c:pt>
                <c:pt idx="5">
                  <c:v>-4.1668592997097173E-2</c:v>
                </c:pt>
                <c:pt idx="6">
                  <c:v>-1.4776199278189451E-2</c:v>
                </c:pt>
                <c:pt idx="7">
                  <c:v>1.406922701981137E-2</c:v>
                </c:pt>
                <c:pt idx="8">
                  <c:v>4.7765609698364131E-2</c:v>
                </c:pt>
                <c:pt idx="9">
                  <c:v>0.10647286893219463</c:v>
                </c:pt>
                <c:pt idx="10">
                  <c:v>1.4344300221585617</c:v>
                </c:pt>
                <c:pt idx="11">
                  <c:v>1.5086887761206471</c:v>
                </c:pt>
                <c:pt idx="12">
                  <c:v>4.5638096889057564</c:v>
                </c:pt>
                <c:pt idx="13">
                  <c:v>14.01400938493633</c:v>
                </c:pt>
                <c:pt idx="14">
                  <c:v>10.995647694238526</c:v>
                </c:pt>
                <c:pt idx="15">
                  <c:v>11.761863868488504</c:v>
                </c:pt>
              </c:numCache>
            </c:numRef>
          </c:val>
          <c:extLst>
            <c:ext xmlns:c16="http://schemas.microsoft.com/office/drawing/2014/chart" uri="{C3380CC4-5D6E-409C-BE32-E72D297353CC}">
              <c16:uniqueId val="{00000006-3010-4E04-B56B-BBA3574BF935}"/>
            </c:ext>
          </c:extLst>
        </c:ser>
        <c:ser>
          <c:idx val="7"/>
          <c:order val="7"/>
          <c:tx>
            <c:strRef>
              <c:f>Contributions!$AL$2</c:f>
              <c:strCache>
                <c:ptCount val="1"/>
                <c:pt idx="0">
                  <c:v>Communication</c:v>
                </c:pt>
              </c:strCache>
            </c:strRef>
          </c:tx>
          <c:spPr>
            <a:solidFill>
              <a:schemeClr val="accent2">
                <a:lumMod val="60000"/>
              </a:schemeClr>
            </a:solidFill>
            <a:ln>
              <a:noFill/>
            </a:ln>
            <a:effectLst/>
          </c:spPr>
          <c:invertIfNegative val="0"/>
          <c:cat>
            <c:numRef>
              <c:f>Contributions!$B$111:$B$126</c:f>
              <c:numCache>
                <c:formatCode>mmm\-yy</c:formatCode>
                <c:ptCount val="16"/>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pt idx="13">
                  <c:v>43466</c:v>
                </c:pt>
                <c:pt idx="14">
                  <c:v>43497</c:v>
                </c:pt>
                <c:pt idx="15">
                  <c:v>43525</c:v>
                </c:pt>
              </c:numCache>
            </c:numRef>
          </c:cat>
          <c:val>
            <c:numRef>
              <c:f>Contributions!$AL$111:$AL$126</c:f>
              <c:numCache>
                <c:formatCode>0.0</c:formatCode>
                <c:ptCount val="16"/>
                <c:pt idx="0">
                  <c:v>4.7084509772257317E-2</c:v>
                </c:pt>
                <c:pt idx="1">
                  <c:v>2.1611039896216898E-2</c:v>
                </c:pt>
                <c:pt idx="2">
                  <c:v>2.9602533155939713E-2</c:v>
                </c:pt>
                <c:pt idx="3">
                  <c:v>-5.3557668762955112E-2</c:v>
                </c:pt>
                <c:pt idx="4">
                  <c:v>-6.680151124284868E-2</c:v>
                </c:pt>
                <c:pt idx="5">
                  <c:v>-6.7321839518375517E-2</c:v>
                </c:pt>
                <c:pt idx="6">
                  <c:v>-6.2242960557828624E-2</c:v>
                </c:pt>
                <c:pt idx="7">
                  <c:v>-5.3519112498249234E-2</c:v>
                </c:pt>
                <c:pt idx="8">
                  <c:v>-5.4817106611552285E-2</c:v>
                </c:pt>
                <c:pt idx="9">
                  <c:v>-4.5471961072827909E-2</c:v>
                </c:pt>
                <c:pt idx="10">
                  <c:v>5.1053478613640032E-3</c:v>
                </c:pt>
                <c:pt idx="11">
                  <c:v>1.3771107610778594E-2</c:v>
                </c:pt>
                <c:pt idx="12">
                  <c:v>6.1090025731245674E-2</c:v>
                </c:pt>
                <c:pt idx="13">
                  <c:v>9.6684717531965933E-2</c:v>
                </c:pt>
                <c:pt idx="14">
                  <c:v>9.4877502028031732E-2</c:v>
                </c:pt>
                <c:pt idx="15">
                  <c:v>0.15023647877333693</c:v>
                </c:pt>
              </c:numCache>
            </c:numRef>
          </c:val>
          <c:extLst>
            <c:ext xmlns:c16="http://schemas.microsoft.com/office/drawing/2014/chart" uri="{C3380CC4-5D6E-409C-BE32-E72D297353CC}">
              <c16:uniqueId val="{00000007-3010-4E04-B56B-BBA3574BF935}"/>
            </c:ext>
          </c:extLst>
        </c:ser>
        <c:ser>
          <c:idx val="8"/>
          <c:order val="8"/>
          <c:tx>
            <c:v>recreation</c:v>
          </c:tx>
          <c:spPr>
            <a:solidFill>
              <a:schemeClr val="accent3">
                <a:lumMod val="60000"/>
              </a:schemeClr>
            </a:solidFill>
            <a:ln>
              <a:noFill/>
            </a:ln>
            <a:effectLst/>
          </c:spPr>
          <c:invertIfNegative val="0"/>
          <c:cat>
            <c:numRef>
              <c:f>Contributions!$B$111:$B$126</c:f>
              <c:numCache>
                <c:formatCode>mmm\-yy</c:formatCode>
                <c:ptCount val="16"/>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pt idx="13">
                  <c:v>43466</c:v>
                </c:pt>
                <c:pt idx="14">
                  <c:v>43497</c:v>
                </c:pt>
                <c:pt idx="15">
                  <c:v>43525</c:v>
                </c:pt>
              </c:numCache>
            </c:numRef>
          </c:cat>
          <c:val>
            <c:numRef>
              <c:f>Contributions!$AM$111:$AM$126</c:f>
              <c:numCache>
                <c:formatCode>0.0</c:formatCode>
                <c:ptCount val="16"/>
                <c:pt idx="0">
                  <c:v>0.11594484718083752</c:v>
                </c:pt>
                <c:pt idx="1">
                  <c:v>0.14732699206303568</c:v>
                </c:pt>
                <c:pt idx="2">
                  <c:v>0.1674120965295392</c:v>
                </c:pt>
                <c:pt idx="3">
                  <c:v>0.19946894182005429</c:v>
                </c:pt>
                <c:pt idx="4">
                  <c:v>0.19667359286188127</c:v>
                </c:pt>
                <c:pt idx="5">
                  <c:v>0.20277282913226671</c:v>
                </c:pt>
                <c:pt idx="6">
                  <c:v>0.19338656933104986</c:v>
                </c:pt>
                <c:pt idx="7">
                  <c:v>0.20535945708208833</c:v>
                </c:pt>
                <c:pt idx="8">
                  <c:v>0.19661990517174946</c:v>
                </c:pt>
                <c:pt idx="9">
                  <c:v>0.18660684400239697</c:v>
                </c:pt>
                <c:pt idx="10">
                  <c:v>0.74117455819476574</c:v>
                </c:pt>
                <c:pt idx="11">
                  <c:v>1.2353721905732691</c:v>
                </c:pt>
                <c:pt idx="12">
                  <c:v>1.2465562065800559</c:v>
                </c:pt>
                <c:pt idx="13">
                  <c:v>1.5501192691503718</c:v>
                </c:pt>
                <c:pt idx="14">
                  <c:v>1.6689523702435847</c:v>
                </c:pt>
                <c:pt idx="15">
                  <c:v>1.7480403424235191</c:v>
                </c:pt>
              </c:numCache>
            </c:numRef>
          </c:val>
          <c:extLst>
            <c:ext xmlns:c16="http://schemas.microsoft.com/office/drawing/2014/chart" uri="{C3380CC4-5D6E-409C-BE32-E72D297353CC}">
              <c16:uniqueId val="{00000008-3010-4E04-B56B-BBA3574BF935}"/>
            </c:ext>
          </c:extLst>
        </c:ser>
        <c:ser>
          <c:idx val="9"/>
          <c:order val="9"/>
          <c:tx>
            <c:v>Education</c:v>
          </c:tx>
          <c:spPr>
            <a:solidFill>
              <a:schemeClr val="accent4">
                <a:lumMod val="60000"/>
              </a:schemeClr>
            </a:solidFill>
            <a:ln>
              <a:noFill/>
            </a:ln>
            <a:effectLst/>
          </c:spPr>
          <c:invertIfNegative val="0"/>
          <c:cat>
            <c:numRef>
              <c:f>Contributions!$B$111:$B$126</c:f>
              <c:numCache>
                <c:formatCode>mmm\-yy</c:formatCode>
                <c:ptCount val="16"/>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pt idx="13">
                  <c:v>43466</c:v>
                </c:pt>
                <c:pt idx="14">
                  <c:v>43497</c:v>
                </c:pt>
                <c:pt idx="15">
                  <c:v>43525</c:v>
                </c:pt>
              </c:numCache>
            </c:numRef>
          </c:cat>
          <c:val>
            <c:numRef>
              <c:f>Contributions!$AN$111:$AN$126</c:f>
              <c:numCache>
                <c:formatCode>0.0</c:formatCode>
                <c:ptCount val="16"/>
                <c:pt idx="0">
                  <c:v>-0.18901601804006529</c:v>
                </c:pt>
                <c:pt idx="1">
                  <c:v>-0.18814112513452541</c:v>
                </c:pt>
                <c:pt idx="2">
                  <c:v>-0.1878280666951371</c:v>
                </c:pt>
                <c:pt idx="3">
                  <c:v>-0.18788494248851056</c:v>
                </c:pt>
                <c:pt idx="4">
                  <c:v>-0.30139081753399921</c:v>
                </c:pt>
                <c:pt idx="5">
                  <c:v>-0.30155353185388706</c:v>
                </c:pt>
                <c:pt idx="6">
                  <c:v>-0.30169553364407115</c:v>
                </c:pt>
                <c:pt idx="7">
                  <c:v>0.5634469837872178</c:v>
                </c:pt>
                <c:pt idx="8">
                  <c:v>0.56119299744325535</c:v>
                </c:pt>
                <c:pt idx="9">
                  <c:v>0.55608871108402491</c:v>
                </c:pt>
                <c:pt idx="10">
                  <c:v>0.47757840559099429</c:v>
                </c:pt>
                <c:pt idx="11">
                  <c:v>0.57235137489883248</c:v>
                </c:pt>
                <c:pt idx="12">
                  <c:v>0.52476360239837849</c:v>
                </c:pt>
                <c:pt idx="13">
                  <c:v>0.48006674988296166</c:v>
                </c:pt>
                <c:pt idx="14">
                  <c:v>0.47348819230228434</c:v>
                </c:pt>
                <c:pt idx="15">
                  <c:v>0.69309046168001232</c:v>
                </c:pt>
              </c:numCache>
            </c:numRef>
          </c:val>
          <c:extLst>
            <c:ext xmlns:c16="http://schemas.microsoft.com/office/drawing/2014/chart" uri="{C3380CC4-5D6E-409C-BE32-E72D297353CC}">
              <c16:uniqueId val="{00000009-3010-4E04-B56B-BBA3574BF935}"/>
            </c:ext>
          </c:extLst>
        </c:ser>
        <c:ser>
          <c:idx val="10"/>
          <c:order val="10"/>
          <c:tx>
            <c:v>Restaurants </c:v>
          </c:tx>
          <c:spPr>
            <a:solidFill>
              <a:schemeClr val="accent5">
                <a:lumMod val="60000"/>
              </a:schemeClr>
            </a:solidFill>
            <a:ln>
              <a:noFill/>
            </a:ln>
            <a:effectLst/>
          </c:spPr>
          <c:invertIfNegative val="0"/>
          <c:cat>
            <c:numRef>
              <c:f>Contributions!$B$111:$B$126</c:f>
              <c:numCache>
                <c:formatCode>mmm\-yy</c:formatCode>
                <c:ptCount val="16"/>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pt idx="13">
                  <c:v>43466</c:v>
                </c:pt>
                <c:pt idx="14">
                  <c:v>43497</c:v>
                </c:pt>
                <c:pt idx="15">
                  <c:v>43525</c:v>
                </c:pt>
              </c:numCache>
            </c:numRef>
          </c:cat>
          <c:val>
            <c:numRef>
              <c:f>Contributions!$AO$111:$AO$126</c:f>
              <c:numCache>
                <c:formatCode>0.0</c:formatCode>
                <c:ptCount val="16"/>
                <c:pt idx="0">
                  <c:v>2.8037487967087108E-2</c:v>
                </c:pt>
                <c:pt idx="1">
                  <c:v>2.1688709273474834E-2</c:v>
                </c:pt>
                <c:pt idx="2">
                  <c:v>1.9337991106454094E-2</c:v>
                </c:pt>
                <c:pt idx="3">
                  <c:v>1.7415229305512144E-2</c:v>
                </c:pt>
                <c:pt idx="4">
                  <c:v>3.851014077902086E-2</c:v>
                </c:pt>
                <c:pt idx="5">
                  <c:v>4.4722931680248462E-2</c:v>
                </c:pt>
                <c:pt idx="6">
                  <c:v>4.4490464496534543E-2</c:v>
                </c:pt>
                <c:pt idx="7">
                  <c:v>7.542125914115555E-2</c:v>
                </c:pt>
                <c:pt idx="8">
                  <c:v>7.6846025448526215E-2</c:v>
                </c:pt>
                <c:pt idx="9">
                  <c:v>7.9628965687983985E-2</c:v>
                </c:pt>
                <c:pt idx="10">
                  <c:v>0.20415353006779122</c:v>
                </c:pt>
                <c:pt idx="11">
                  <c:v>0.35629869594378205</c:v>
                </c:pt>
                <c:pt idx="12">
                  <c:v>0.60229195766458321</c:v>
                </c:pt>
                <c:pt idx="13">
                  <c:v>0.84352019800274969</c:v>
                </c:pt>
                <c:pt idx="14">
                  <c:v>0.89681850008255737</c:v>
                </c:pt>
                <c:pt idx="15">
                  <c:v>1.0050376954785107</c:v>
                </c:pt>
              </c:numCache>
            </c:numRef>
          </c:val>
          <c:extLst>
            <c:ext xmlns:c16="http://schemas.microsoft.com/office/drawing/2014/chart" uri="{C3380CC4-5D6E-409C-BE32-E72D297353CC}">
              <c16:uniqueId val="{0000000A-3010-4E04-B56B-BBA3574BF935}"/>
            </c:ext>
          </c:extLst>
        </c:ser>
        <c:ser>
          <c:idx val="11"/>
          <c:order val="11"/>
          <c:tx>
            <c:v>Miscellenious </c:v>
          </c:tx>
          <c:spPr>
            <a:solidFill>
              <a:schemeClr val="accent6">
                <a:lumMod val="60000"/>
              </a:schemeClr>
            </a:solidFill>
            <a:ln>
              <a:noFill/>
            </a:ln>
            <a:effectLst/>
          </c:spPr>
          <c:invertIfNegative val="0"/>
          <c:cat>
            <c:numRef>
              <c:f>Contributions!$B$111:$B$126</c:f>
              <c:numCache>
                <c:formatCode>mmm\-yy</c:formatCode>
                <c:ptCount val="16"/>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pt idx="13">
                  <c:v>43466</c:v>
                </c:pt>
                <c:pt idx="14">
                  <c:v>43497</c:v>
                </c:pt>
                <c:pt idx="15">
                  <c:v>43525</c:v>
                </c:pt>
              </c:numCache>
            </c:numRef>
          </c:cat>
          <c:val>
            <c:numRef>
              <c:f>Contributions!$AP$111:$AP$126</c:f>
              <c:numCache>
                <c:formatCode>0.0</c:formatCode>
                <c:ptCount val="16"/>
                <c:pt idx="0">
                  <c:v>0.22781483511619374</c:v>
                </c:pt>
                <c:pt idx="1">
                  <c:v>0.25118393047771925</c:v>
                </c:pt>
                <c:pt idx="2">
                  <c:v>0.23927017955178137</c:v>
                </c:pt>
                <c:pt idx="3">
                  <c:v>0.20225475447971658</c:v>
                </c:pt>
                <c:pt idx="4">
                  <c:v>0.21570489940651874</c:v>
                </c:pt>
                <c:pt idx="5">
                  <c:v>0.23311772455280086</c:v>
                </c:pt>
                <c:pt idx="6">
                  <c:v>0.26263017354069318</c:v>
                </c:pt>
                <c:pt idx="7">
                  <c:v>0.28820918866119194</c:v>
                </c:pt>
                <c:pt idx="8">
                  <c:v>0.29987016422383617</c:v>
                </c:pt>
                <c:pt idx="9">
                  <c:v>0.29532050017371553</c:v>
                </c:pt>
                <c:pt idx="10">
                  <c:v>0.71499088339422112</c:v>
                </c:pt>
                <c:pt idx="11">
                  <c:v>1.4168707897102462</c:v>
                </c:pt>
                <c:pt idx="12">
                  <c:v>1.928539926765769</c:v>
                </c:pt>
                <c:pt idx="13">
                  <c:v>2.2005249832634366</c:v>
                </c:pt>
                <c:pt idx="14">
                  <c:v>2.5120931879181798</c:v>
                </c:pt>
                <c:pt idx="15">
                  <c:v>2.9024385457770281</c:v>
                </c:pt>
              </c:numCache>
            </c:numRef>
          </c:val>
          <c:extLst>
            <c:ext xmlns:c16="http://schemas.microsoft.com/office/drawing/2014/chart" uri="{C3380CC4-5D6E-409C-BE32-E72D297353CC}">
              <c16:uniqueId val="{0000000B-3010-4E04-B56B-BBA3574BF935}"/>
            </c:ext>
          </c:extLst>
        </c:ser>
        <c:dLbls>
          <c:showLegendKey val="0"/>
          <c:showVal val="0"/>
          <c:showCatName val="0"/>
          <c:showSerName val="0"/>
          <c:showPercent val="0"/>
          <c:showBubbleSize val="0"/>
        </c:dLbls>
        <c:gapWidth val="150"/>
        <c:overlap val="100"/>
        <c:axId val="-69093616"/>
        <c:axId val="-69121904"/>
      </c:barChart>
      <c:dateAx>
        <c:axId val="-69093616"/>
        <c:scaling>
          <c:orientation val="minMax"/>
        </c:scaling>
        <c:delete val="0"/>
        <c:axPos val="b"/>
        <c:numFmt formatCode="m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21904"/>
        <c:crosses val="autoZero"/>
        <c:auto val="1"/>
        <c:lblOffset val="100"/>
        <c:baseTimeUnit val="months"/>
      </c:dateAx>
      <c:valAx>
        <c:axId val="-69121904"/>
        <c:scaling>
          <c:orientation val="minMax"/>
        </c:scaling>
        <c:delete val="0"/>
        <c:axPos val="l"/>
        <c:numFmt formatCode="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093616"/>
        <c:crosses val="autoZero"/>
        <c:crossBetween val="between"/>
      </c:valAx>
      <c:spPr>
        <a:noFill/>
        <a:ln w="25400">
          <a:noFill/>
        </a:ln>
      </c:spPr>
    </c:plotArea>
    <c:legend>
      <c:legendPos val="b"/>
      <c:layout>
        <c:manualLayout>
          <c:xMode val="edge"/>
          <c:yMode val="edge"/>
          <c:x val="5.3234689413823269E-2"/>
          <c:y val="0.77206773810807894"/>
          <c:w val="0.92686395450568682"/>
          <c:h val="0.22793226189192106"/>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853999440854261E-2"/>
          <c:y val="5.0925925925925923E-2"/>
          <c:w val="0.86226174059009875"/>
          <c:h val="0.62953667249927092"/>
        </c:manualLayout>
      </c:layout>
      <c:lineChart>
        <c:grouping val="standard"/>
        <c:varyColors val="0"/>
        <c:ser>
          <c:idx val="0"/>
          <c:order val="0"/>
          <c:tx>
            <c:v>Parallel Exchange Rate </c:v>
          </c:tx>
          <c:spPr>
            <a:ln w="28575" cap="rnd">
              <a:solidFill>
                <a:schemeClr val="accent1"/>
              </a:solidFill>
              <a:round/>
            </a:ln>
            <a:effectLst/>
          </c:spPr>
          <c:marker>
            <c:symbol val="none"/>
          </c:marker>
          <c:cat>
            <c:numRef>
              <c:f>Sheet1!$A$4:$A$429</c:f>
              <c:numCache>
                <c:formatCode>[$-3009]dd\-mmm\-yy;@</c:formatCode>
                <c:ptCount val="426"/>
                <c:pt idx="0">
                  <c:v>42979</c:v>
                </c:pt>
                <c:pt idx="1">
                  <c:v>42982</c:v>
                </c:pt>
                <c:pt idx="2">
                  <c:v>42983</c:v>
                </c:pt>
                <c:pt idx="3">
                  <c:v>42984</c:v>
                </c:pt>
                <c:pt idx="4">
                  <c:v>42985</c:v>
                </c:pt>
                <c:pt idx="5">
                  <c:v>42986</c:v>
                </c:pt>
                <c:pt idx="6">
                  <c:v>42989</c:v>
                </c:pt>
                <c:pt idx="7">
                  <c:v>42990</c:v>
                </c:pt>
                <c:pt idx="8">
                  <c:v>42991</c:v>
                </c:pt>
                <c:pt idx="9">
                  <c:v>42992</c:v>
                </c:pt>
                <c:pt idx="10">
                  <c:v>42993</c:v>
                </c:pt>
                <c:pt idx="11">
                  <c:v>43000</c:v>
                </c:pt>
                <c:pt idx="12">
                  <c:v>43003</c:v>
                </c:pt>
                <c:pt idx="13">
                  <c:v>43004</c:v>
                </c:pt>
                <c:pt idx="14">
                  <c:v>43005</c:v>
                </c:pt>
                <c:pt idx="15">
                  <c:v>43006</c:v>
                </c:pt>
                <c:pt idx="16">
                  <c:v>43007</c:v>
                </c:pt>
                <c:pt idx="17">
                  <c:v>43008</c:v>
                </c:pt>
                <c:pt idx="18">
                  <c:v>43010</c:v>
                </c:pt>
                <c:pt idx="19">
                  <c:v>43011</c:v>
                </c:pt>
                <c:pt idx="20">
                  <c:v>43012</c:v>
                </c:pt>
                <c:pt idx="21">
                  <c:v>43013</c:v>
                </c:pt>
                <c:pt idx="22">
                  <c:v>43014</c:v>
                </c:pt>
                <c:pt idx="23">
                  <c:v>43017</c:v>
                </c:pt>
                <c:pt idx="24">
                  <c:v>43018</c:v>
                </c:pt>
                <c:pt idx="25">
                  <c:v>43019</c:v>
                </c:pt>
                <c:pt idx="26">
                  <c:v>43020</c:v>
                </c:pt>
                <c:pt idx="27">
                  <c:v>43021</c:v>
                </c:pt>
                <c:pt idx="28">
                  <c:v>43024</c:v>
                </c:pt>
                <c:pt idx="29">
                  <c:v>43025</c:v>
                </c:pt>
                <c:pt idx="30">
                  <c:v>43026</c:v>
                </c:pt>
                <c:pt idx="31">
                  <c:v>43027</c:v>
                </c:pt>
                <c:pt idx="32">
                  <c:v>43028</c:v>
                </c:pt>
                <c:pt idx="33">
                  <c:v>43029</c:v>
                </c:pt>
                <c:pt idx="34">
                  <c:v>43030</c:v>
                </c:pt>
                <c:pt idx="35">
                  <c:v>43031</c:v>
                </c:pt>
                <c:pt idx="36">
                  <c:v>43032</c:v>
                </c:pt>
                <c:pt idx="37">
                  <c:v>43033</c:v>
                </c:pt>
                <c:pt idx="38">
                  <c:v>43034</c:v>
                </c:pt>
                <c:pt idx="39">
                  <c:v>43035</c:v>
                </c:pt>
                <c:pt idx="40">
                  <c:v>43038</c:v>
                </c:pt>
                <c:pt idx="41">
                  <c:v>43039</c:v>
                </c:pt>
                <c:pt idx="42">
                  <c:v>43040</c:v>
                </c:pt>
                <c:pt idx="43">
                  <c:v>43041</c:v>
                </c:pt>
                <c:pt idx="44">
                  <c:v>43042</c:v>
                </c:pt>
                <c:pt idx="45">
                  <c:v>43045</c:v>
                </c:pt>
                <c:pt idx="46">
                  <c:v>43046</c:v>
                </c:pt>
                <c:pt idx="47">
                  <c:v>43047</c:v>
                </c:pt>
                <c:pt idx="48">
                  <c:v>43048</c:v>
                </c:pt>
                <c:pt idx="49">
                  <c:v>43049</c:v>
                </c:pt>
                <c:pt idx="50">
                  <c:v>43052</c:v>
                </c:pt>
                <c:pt idx="51">
                  <c:v>43053</c:v>
                </c:pt>
                <c:pt idx="52">
                  <c:v>43054</c:v>
                </c:pt>
                <c:pt idx="53">
                  <c:v>43055</c:v>
                </c:pt>
                <c:pt idx="54">
                  <c:v>43056</c:v>
                </c:pt>
                <c:pt idx="55">
                  <c:v>43059</c:v>
                </c:pt>
                <c:pt idx="56">
                  <c:v>43060</c:v>
                </c:pt>
                <c:pt idx="57">
                  <c:v>43061</c:v>
                </c:pt>
                <c:pt idx="58">
                  <c:v>43062</c:v>
                </c:pt>
                <c:pt idx="59">
                  <c:v>43063</c:v>
                </c:pt>
                <c:pt idx="60">
                  <c:v>43066</c:v>
                </c:pt>
                <c:pt idx="61">
                  <c:v>43067</c:v>
                </c:pt>
                <c:pt idx="62">
                  <c:v>43068</c:v>
                </c:pt>
                <c:pt idx="63">
                  <c:v>43069</c:v>
                </c:pt>
                <c:pt idx="64">
                  <c:v>43070</c:v>
                </c:pt>
                <c:pt idx="65">
                  <c:v>43073</c:v>
                </c:pt>
                <c:pt idx="66">
                  <c:v>43074</c:v>
                </c:pt>
                <c:pt idx="67">
                  <c:v>43075</c:v>
                </c:pt>
                <c:pt idx="68">
                  <c:v>43076</c:v>
                </c:pt>
                <c:pt idx="69">
                  <c:v>43077</c:v>
                </c:pt>
                <c:pt idx="70">
                  <c:v>43080</c:v>
                </c:pt>
                <c:pt idx="71">
                  <c:v>43081</c:v>
                </c:pt>
                <c:pt idx="72">
                  <c:v>43082</c:v>
                </c:pt>
                <c:pt idx="73">
                  <c:v>43083</c:v>
                </c:pt>
                <c:pt idx="74">
                  <c:v>43084</c:v>
                </c:pt>
                <c:pt idx="75">
                  <c:v>43087</c:v>
                </c:pt>
                <c:pt idx="76">
                  <c:v>43088</c:v>
                </c:pt>
                <c:pt idx="77">
                  <c:v>43089</c:v>
                </c:pt>
                <c:pt idx="78">
                  <c:v>43090</c:v>
                </c:pt>
                <c:pt idx="79">
                  <c:v>43096</c:v>
                </c:pt>
                <c:pt idx="80">
                  <c:v>43097</c:v>
                </c:pt>
                <c:pt idx="81">
                  <c:v>43098</c:v>
                </c:pt>
                <c:pt idx="82">
                  <c:v>43102</c:v>
                </c:pt>
                <c:pt idx="83">
                  <c:v>43103</c:v>
                </c:pt>
                <c:pt idx="84">
                  <c:v>43104</c:v>
                </c:pt>
                <c:pt idx="85">
                  <c:v>43105</c:v>
                </c:pt>
                <c:pt idx="86">
                  <c:v>43108</c:v>
                </c:pt>
                <c:pt idx="87">
                  <c:v>43109</c:v>
                </c:pt>
                <c:pt idx="88">
                  <c:v>43110</c:v>
                </c:pt>
                <c:pt idx="89">
                  <c:v>43111</c:v>
                </c:pt>
                <c:pt idx="90">
                  <c:v>43112</c:v>
                </c:pt>
                <c:pt idx="91">
                  <c:v>43115</c:v>
                </c:pt>
                <c:pt idx="92">
                  <c:v>43116</c:v>
                </c:pt>
                <c:pt idx="93">
                  <c:v>43117</c:v>
                </c:pt>
                <c:pt idx="94">
                  <c:v>43118</c:v>
                </c:pt>
                <c:pt idx="95">
                  <c:v>43119</c:v>
                </c:pt>
                <c:pt idx="96">
                  <c:v>43122</c:v>
                </c:pt>
                <c:pt idx="97">
                  <c:v>43123</c:v>
                </c:pt>
                <c:pt idx="98">
                  <c:v>43124</c:v>
                </c:pt>
                <c:pt idx="99">
                  <c:v>43125</c:v>
                </c:pt>
                <c:pt idx="100">
                  <c:v>43126</c:v>
                </c:pt>
                <c:pt idx="101">
                  <c:v>43129</c:v>
                </c:pt>
                <c:pt idx="102">
                  <c:v>43130</c:v>
                </c:pt>
                <c:pt idx="103">
                  <c:v>43131</c:v>
                </c:pt>
                <c:pt idx="104">
                  <c:v>43132</c:v>
                </c:pt>
                <c:pt idx="105">
                  <c:v>43133</c:v>
                </c:pt>
                <c:pt idx="106">
                  <c:v>43136</c:v>
                </c:pt>
                <c:pt idx="107">
                  <c:v>43137</c:v>
                </c:pt>
                <c:pt idx="108">
                  <c:v>43138</c:v>
                </c:pt>
                <c:pt idx="109">
                  <c:v>43139</c:v>
                </c:pt>
                <c:pt idx="110">
                  <c:v>43140</c:v>
                </c:pt>
                <c:pt idx="111">
                  <c:v>43143</c:v>
                </c:pt>
                <c:pt idx="112">
                  <c:v>43144</c:v>
                </c:pt>
                <c:pt idx="113">
                  <c:v>43145</c:v>
                </c:pt>
                <c:pt idx="114">
                  <c:v>43146</c:v>
                </c:pt>
                <c:pt idx="115">
                  <c:v>43147</c:v>
                </c:pt>
                <c:pt idx="116">
                  <c:v>43150</c:v>
                </c:pt>
                <c:pt idx="117">
                  <c:v>43151</c:v>
                </c:pt>
                <c:pt idx="118">
                  <c:v>43152</c:v>
                </c:pt>
                <c:pt idx="119">
                  <c:v>43153</c:v>
                </c:pt>
                <c:pt idx="120">
                  <c:v>43154</c:v>
                </c:pt>
                <c:pt idx="121">
                  <c:v>43157</c:v>
                </c:pt>
                <c:pt idx="122">
                  <c:v>43158</c:v>
                </c:pt>
                <c:pt idx="123">
                  <c:v>43159</c:v>
                </c:pt>
                <c:pt idx="124">
                  <c:v>43160</c:v>
                </c:pt>
                <c:pt idx="125">
                  <c:v>43161</c:v>
                </c:pt>
                <c:pt idx="126">
                  <c:v>43164</c:v>
                </c:pt>
                <c:pt idx="127">
                  <c:v>43165</c:v>
                </c:pt>
                <c:pt idx="128">
                  <c:v>43166</c:v>
                </c:pt>
                <c:pt idx="129">
                  <c:v>43167</c:v>
                </c:pt>
                <c:pt idx="130">
                  <c:v>43168</c:v>
                </c:pt>
                <c:pt idx="131">
                  <c:v>43171</c:v>
                </c:pt>
                <c:pt idx="132">
                  <c:v>43172</c:v>
                </c:pt>
                <c:pt idx="133">
                  <c:v>43173</c:v>
                </c:pt>
                <c:pt idx="134">
                  <c:v>43174</c:v>
                </c:pt>
                <c:pt idx="135">
                  <c:v>43175</c:v>
                </c:pt>
                <c:pt idx="136">
                  <c:v>43178</c:v>
                </c:pt>
                <c:pt idx="137">
                  <c:v>43179</c:v>
                </c:pt>
                <c:pt idx="138">
                  <c:v>43180</c:v>
                </c:pt>
                <c:pt idx="139">
                  <c:v>43181</c:v>
                </c:pt>
                <c:pt idx="140">
                  <c:v>43182</c:v>
                </c:pt>
                <c:pt idx="141" formatCode="[$-409]d\-mmm;@">
                  <c:v>43185</c:v>
                </c:pt>
                <c:pt idx="142" formatCode="[$-409]d\-mmm;@">
                  <c:v>43186</c:v>
                </c:pt>
                <c:pt idx="143" formatCode="[$-409]d\-mmm;@">
                  <c:v>43187</c:v>
                </c:pt>
                <c:pt idx="144" formatCode="[$-409]d\-mmm;@">
                  <c:v>43188</c:v>
                </c:pt>
                <c:pt idx="145">
                  <c:v>43193</c:v>
                </c:pt>
                <c:pt idx="146">
                  <c:v>43194</c:v>
                </c:pt>
                <c:pt idx="147">
                  <c:v>43195</c:v>
                </c:pt>
                <c:pt idx="148">
                  <c:v>43196</c:v>
                </c:pt>
                <c:pt idx="149" formatCode="d\-mmm">
                  <c:v>43199</c:v>
                </c:pt>
                <c:pt idx="150" formatCode="d\-mmm">
                  <c:v>43200</c:v>
                </c:pt>
                <c:pt idx="151" formatCode="d\-mmm">
                  <c:v>43201</c:v>
                </c:pt>
                <c:pt idx="152" formatCode="d\-mmm">
                  <c:v>43202</c:v>
                </c:pt>
                <c:pt idx="153" formatCode="d\-mmm">
                  <c:v>43203</c:v>
                </c:pt>
                <c:pt idx="154">
                  <c:v>43206</c:v>
                </c:pt>
                <c:pt idx="155">
                  <c:v>43207</c:v>
                </c:pt>
                <c:pt idx="156">
                  <c:v>43209</c:v>
                </c:pt>
                <c:pt idx="157">
                  <c:v>43210</c:v>
                </c:pt>
                <c:pt idx="158">
                  <c:v>43213</c:v>
                </c:pt>
                <c:pt idx="159">
                  <c:v>43214</c:v>
                </c:pt>
                <c:pt idx="160">
                  <c:v>43215</c:v>
                </c:pt>
                <c:pt idx="161">
                  <c:v>43216</c:v>
                </c:pt>
                <c:pt idx="162">
                  <c:v>43217</c:v>
                </c:pt>
                <c:pt idx="163">
                  <c:v>43220</c:v>
                </c:pt>
                <c:pt idx="164">
                  <c:v>43222</c:v>
                </c:pt>
                <c:pt idx="165">
                  <c:v>43223</c:v>
                </c:pt>
                <c:pt idx="166">
                  <c:v>43224</c:v>
                </c:pt>
                <c:pt idx="167">
                  <c:v>43227</c:v>
                </c:pt>
                <c:pt idx="168">
                  <c:v>43228</c:v>
                </c:pt>
                <c:pt idx="169">
                  <c:v>43229</c:v>
                </c:pt>
                <c:pt idx="170">
                  <c:v>43230</c:v>
                </c:pt>
                <c:pt idx="171">
                  <c:v>43231</c:v>
                </c:pt>
                <c:pt idx="172">
                  <c:v>43234</c:v>
                </c:pt>
                <c:pt idx="173">
                  <c:v>43235</c:v>
                </c:pt>
                <c:pt idx="174">
                  <c:v>43236</c:v>
                </c:pt>
                <c:pt idx="175">
                  <c:v>43237</c:v>
                </c:pt>
                <c:pt idx="176">
                  <c:v>43238</c:v>
                </c:pt>
                <c:pt idx="177">
                  <c:v>43241</c:v>
                </c:pt>
                <c:pt idx="178">
                  <c:v>43242</c:v>
                </c:pt>
                <c:pt idx="179">
                  <c:v>43243</c:v>
                </c:pt>
                <c:pt idx="180">
                  <c:v>43244</c:v>
                </c:pt>
                <c:pt idx="181">
                  <c:v>43245</c:v>
                </c:pt>
                <c:pt idx="182">
                  <c:v>43249</c:v>
                </c:pt>
                <c:pt idx="183">
                  <c:v>43250</c:v>
                </c:pt>
                <c:pt idx="184">
                  <c:v>43251</c:v>
                </c:pt>
                <c:pt idx="185">
                  <c:v>43252</c:v>
                </c:pt>
                <c:pt idx="186">
                  <c:v>43255</c:v>
                </c:pt>
                <c:pt idx="187">
                  <c:v>43256</c:v>
                </c:pt>
                <c:pt idx="188">
                  <c:v>43257</c:v>
                </c:pt>
                <c:pt idx="189">
                  <c:v>43258</c:v>
                </c:pt>
                <c:pt idx="190">
                  <c:v>43259</c:v>
                </c:pt>
                <c:pt idx="191">
                  <c:v>43262</c:v>
                </c:pt>
                <c:pt idx="192">
                  <c:v>43263</c:v>
                </c:pt>
                <c:pt idx="193">
                  <c:v>43264</c:v>
                </c:pt>
                <c:pt idx="194">
                  <c:v>43265</c:v>
                </c:pt>
                <c:pt idx="195">
                  <c:v>43266</c:v>
                </c:pt>
                <c:pt idx="196">
                  <c:v>43269</c:v>
                </c:pt>
                <c:pt idx="197">
                  <c:v>43270</c:v>
                </c:pt>
                <c:pt idx="198">
                  <c:v>43271</c:v>
                </c:pt>
                <c:pt idx="199">
                  <c:v>43272</c:v>
                </c:pt>
                <c:pt idx="200">
                  <c:v>43273</c:v>
                </c:pt>
                <c:pt idx="201">
                  <c:v>43276</c:v>
                </c:pt>
                <c:pt idx="202">
                  <c:v>43277</c:v>
                </c:pt>
                <c:pt idx="203">
                  <c:v>43278</c:v>
                </c:pt>
                <c:pt idx="204">
                  <c:v>43279</c:v>
                </c:pt>
                <c:pt idx="205">
                  <c:v>43280</c:v>
                </c:pt>
                <c:pt idx="206">
                  <c:v>43283</c:v>
                </c:pt>
                <c:pt idx="207">
                  <c:v>43284</c:v>
                </c:pt>
                <c:pt idx="208">
                  <c:v>43285</c:v>
                </c:pt>
                <c:pt idx="209">
                  <c:v>43286</c:v>
                </c:pt>
                <c:pt idx="210">
                  <c:v>43287</c:v>
                </c:pt>
                <c:pt idx="211">
                  <c:v>43290</c:v>
                </c:pt>
                <c:pt idx="212">
                  <c:v>43291</c:v>
                </c:pt>
                <c:pt idx="213">
                  <c:v>43292</c:v>
                </c:pt>
                <c:pt idx="214">
                  <c:v>43293</c:v>
                </c:pt>
                <c:pt idx="215">
                  <c:v>43294</c:v>
                </c:pt>
                <c:pt idx="216">
                  <c:v>43297</c:v>
                </c:pt>
                <c:pt idx="217">
                  <c:v>43298</c:v>
                </c:pt>
                <c:pt idx="218">
                  <c:v>43299</c:v>
                </c:pt>
                <c:pt idx="219">
                  <c:v>43300</c:v>
                </c:pt>
                <c:pt idx="220">
                  <c:v>43301</c:v>
                </c:pt>
                <c:pt idx="221">
                  <c:v>43304</c:v>
                </c:pt>
                <c:pt idx="222">
                  <c:v>43305</c:v>
                </c:pt>
                <c:pt idx="223">
                  <c:v>43306</c:v>
                </c:pt>
                <c:pt idx="224">
                  <c:v>43307</c:v>
                </c:pt>
                <c:pt idx="225">
                  <c:v>43308</c:v>
                </c:pt>
                <c:pt idx="226">
                  <c:v>43311</c:v>
                </c:pt>
                <c:pt idx="227">
                  <c:v>43312</c:v>
                </c:pt>
                <c:pt idx="228">
                  <c:v>43313</c:v>
                </c:pt>
                <c:pt idx="229">
                  <c:v>43314</c:v>
                </c:pt>
                <c:pt idx="230">
                  <c:v>43315</c:v>
                </c:pt>
                <c:pt idx="231">
                  <c:v>43318</c:v>
                </c:pt>
                <c:pt idx="232">
                  <c:v>43319</c:v>
                </c:pt>
                <c:pt idx="233">
                  <c:v>43320</c:v>
                </c:pt>
                <c:pt idx="234">
                  <c:v>43321</c:v>
                </c:pt>
                <c:pt idx="235">
                  <c:v>43322</c:v>
                </c:pt>
                <c:pt idx="236">
                  <c:v>43327</c:v>
                </c:pt>
                <c:pt idx="237">
                  <c:v>43328</c:v>
                </c:pt>
                <c:pt idx="238">
                  <c:v>43329</c:v>
                </c:pt>
                <c:pt idx="239">
                  <c:v>43332</c:v>
                </c:pt>
                <c:pt idx="240">
                  <c:v>43333</c:v>
                </c:pt>
                <c:pt idx="241">
                  <c:v>43334</c:v>
                </c:pt>
                <c:pt idx="242">
                  <c:v>43335</c:v>
                </c:pt>
                <c:pt idx="243">
                  <c:v>43336</c:v>
                </c:pt>
                <c:pt idx="244">
                  <c:v>43339</c:v>
                </c:pt>
                <c:pt idx="245">
                  <c:v>43340</c:v>
                </c:pt>
                <c:pt idx="246">
                  <c:v>43341</c:v>
                </c:pt>
                <c:pt idx="247">
                  <c:v>43342</c:v>
                </c:pt>
                <c:pt idx="248">
                  <c:v>43343</c:v>
                </c:pt>
                <c:pt idx="249">
                  <c:v>43346</c:v>
                </c:pt>
                <c:pt idx="250">
                  <c:v>43347</c:v>
                </c:pt>
                <c:pt idx="251">
                  <c:v>43348</c:v>
                </c:pt>
                <c:pt idx="252">
                  <c:v>43349</c:v>
                </c:pt>
                <c:pt idx="253">
                  <c:v>43350</c:v>
                </c:pt>
                <c:pt idx="254">
                  <c:v>43353</c:v>
                </c:pt>
                <c:pt idx="255">
                  <c:v>43354</c:v>
                </c:pt>
                <c:pt idx="256">
                  <c:v>43355</c:v>
                </c:pt>
                <c:pt idx="257">
                  <c:v>43356</c:v>
                </c:pt>
                <c:pt idx="258">
                  <c:v>43357</c:v>
                </c:pt>
                <c:pt idx="259">
                  <c:v>43360</c:v>
                </c:pt>
                <c:pt idx="260">
                  <c:v>43361</c:v>
                </c:pt>
                <c:pt idx="261">
                  <c:v>43362</c:v>
                </c:pt>
                <c:pt idx="262">
                  <c:v>43363</c:v>
                </c:pt>
                <c:pt idx="263">
                  <c:v>43364</c:v>
                </c:pt>
                <c:pt idx="264">
                  <c:v>43367</c:v>
                </c:pt>
                <c:pt idx="265">
                  <c:v>43368</c:v>
                </c:pt>
                <c:pt idx="266">
                  <c:v>43369</c:v>
                </c:pt>
                <c:pt idx="267">
                  <c:v>43370</c:v>
                </c:pt>
                <c:pt idx="268">
                  <c:v>43371</c:v>
                </c:pt>
                <c:pt idx="269">
                  <c:v>43374</c:v>
                </c:pt>
                <c:pt idx="270">
                  <c:v>43375</c:v>
                </c:pt>
                <c:pt idx="271">
                  <c:v>43376</c:v>
                </c:pt>
                <c:pt idx="272">
                  <c:v>43377</c:v>
                </c:pt>
                <c:pt idx="273">
                  <c:v>43378</c:v>
                </c:pt>
                <c:pt idx="274">
                  <c:v>43381</c:v>
                </c:pt>
                <c:pt idx="275">
                  <c:v>43382</c:v>
                </c:pt>
                <c:pt idx="276">
                  <c:v>43383</c:v>
                </c:pt>
                <c:pt idx="277">
                  <c:v>43384</c:v>
                </c:pt>
                <c:pt idx="278">
                  <c:v>43385</c:v>
                </c:pt>
                <c:pt idx="279">
                  <c:v>43388</c:v>
                </c:pt>
                <c:pt idx="280">
                  <c:v>43389</c:v>
                </c:pt>
                <c:pt idx="281">
                  <c:v>43390</c:v>
                </c:pt>
                <c:pt idx="282">
                  <c:v>43391</c:v>
                </c:pt>
                <c:pt idx="283">
                  <c:v>43392</c:v>
                </c:pt>
                <c:pt idx="284">
                  <c:v>43395</c:v>
                </c:pt>
                <c:pt idx="285">
                  <c:v>43396</c:v>
                </c:pt>
                <c:pt idx="286">
                  <c:v>43397</c:v>
                </c:pt>
                <c:pt idx="287">
                  <c:v>43398</c:v>
                </c:pt>
                <c:pt idx="288">
                  <c:v>43399</c:v>
                </c:pt>
                <c:pt idx="289">
                  <c:v>43402</c:v>
                </c:pt>
                <c:pt idx="290">
                  <c:v>43403</c:v>
                </c:pt>
                <c:pt idx="291">
                  <c:v>43404</c:v>
                </c:pt>
                <c:pt idx="292">
                  <c:v>43405</c:v>
                </c:pt>
                <c:pt idx="293">
                  <c:v>43406</c:v>
                </c:pt>
                <c:pt idx="294">
                  <c:v>43409</c:v>
                </c:pt>
                <c:pt idx="295">
                  <c:v>43410</c:v>
                </c:pt>
                <c:pt idx="296">
                  <c:v>43411</c:v>
                </c:pt>
                <c:pt idx="297">
                  <c:v>43412</c:v>
                </c:pt>
                <c:pt idx="298">
                  <c:v>43413</c:v>
                </c:pt>
                <c:pt idx="299">
                  <c:v>43416</c:v>
                </c:pt>
                <c:pt idx="300">
                  <c:v>43417</c:v>
                </c:pt>
                <c:pt idx="301">
                  <c:v>43418</c:v>
                </c:pt>
                <c:pt idx="302">
                  <c:v>43419</c:v>
                </c:pt>
                <c:pt idx="303">
                  <c:v>43420</c:v>
                </c:pt>
                <c:pt idx="304">
                  <c:v>43423</c:v>
                </c:pt>
                <c:pt idx="305">
                  <c:v>43424</c:v>
                </c:pt>
                <c:pt idx="306">
                  <c:v>43425</c:v>
                </c:pt>
                <c:pt idx="307">
                  <c:v>43426</c:v>
                </c:pt>
                <c:pt idx="308">
                  <c:v>43427</c:v>
                </c:pt>
                <c:pt idx="309">
                  <c:v>43428</c:v>
                </c:pt>
                <c:pt idx="310">
                  <c:v>43429</c:v>
                </c:pt>
                <c:pt idx="311">
                  <c:v>43430</c:v>
                </c:pt>
                <c:pt idx="312">
                  <c:v>43431</c:v>
                </c:pt>
                <c:pt idx="313">
                  <c:v>43432</c:v>
                </c:pt>
                <c:pt idx="314">
                  <c:v>43433</c:v>
                </c:pt>
                <c:pt idx="315">
                  <c:v>43434</c:v>
                </c:pt>
                <c:pt idx="316">
                  <c:v>43435</c:v>
                </c:pt>
                <c:pt idx="317">
                  <c:v>43436</c:v>
                </c:pt>
                <c:pt idx="318">
                  <c:v>43437</c:v>
                </c:pt>
                <c:pt idx="319">
                  <c:v>43438</c:v>
                </c:pt>
                <c:pt idx="320">
                  <c:v>43439</c:v>
                </c:pt>
                <c:pt idx="321">
                  <c:v>43440</c:v>
                </c:pt>
                <c:pt idx="322">
                  <c:v>43441</c:v>
                </c:pt>
                <c:pt idx="323">
                  <c:v>43442</c:v>
                </c:pt>
                <c:pt idx="324">
                  <c:v>43443</c:v>
                </c:pt>
                <c:pt idx="325">
                  <c:v>43444</c:v>
                </c:pt>
                <c:pt idx="326">
                  <c:v>43445</c:v>
                </c:pt>
                <c:pt idx="327">
                  <c:v>43446</c:v>
                </c:pt>
                <c:pt idx="328">
                  <c:v>43447</c:v>
                </c:pt>
                <c:pt idx="329">
                  <c:v>43448</c:v>
                </c:pt>
                <c:pt idx="330">
                  <c:v>43449</c:v>
                </c:pt>
                <c:pt idx="331">
                  <c:v>43450</c:v>
                </c:pt>
                <c:pt idx="332">
                  <c:v>43451</c:v>
                </c:pt>
                <c:pt idx="333">
                  <c:v>43452</c:v>
                </c:pt>
                <c:pt idx="334">
                  <c:v>43453</c:v>
                </c:pt>
                <c:pt idx="335">
                  <c:v>43454</c:v>
                </c:pt>
                <c:pt idx="336">
                  <c:v>43455</c:v>
                </c:pt>
                <c:pt idx="337">
                  <c:v>43456</c:v>
                </c:pt>
                <c:pt idx="338">
                  <c:v>43457</c:v>
                </c:pt>
                <c:pt idx="339">
                  <c:v>43458</c:v>
                </c:pt>
                <c:pt idx="340">
                  <c:v>43459</c:v>
                </c:pt>
                <c:pt idx="341">
                  <c:v>43460</c:v>
                </c:pt>
                <c:pt idx="342">
                  <c:v>43461</c:v>
                </c:pt>
                <c:pt idx="343">
                  <c:v>43462</c:v>
                </c:pt>
                <c:pt idx="344">
                  <c:v>43463</c:v>
                </c:pt>
                <c:pt idx="345">
                  <c:v>43464</c:v>
                </c:pt>
                <c:pt idx="346">
                  <c:v>43465</c:v>
                </c:pt>
                <c:pt idx="347">
                  <c:v>43467</c:v>
                </c:pt>
                <c:pt idx="348">
                  <c:v>43468</c:v>
                </c:pt>
                <c:pt idx="349">
                  <c:v>43469</c:v>
                </c:pt>
                <c:pt idx="350">
                  <c:v>43472</c:v>
                </c:pt>
                <c:pt idx="351">
                  <c:v>43473</c:v>
                </c:pt>
                <c:pt idx="352">
                  <c:v>43474</c:v>
                </c:pt>
                <c:pt idx="353">
                  <c:v>43475</c:v>
                </c:pt>
                <c:pt idx="354">
                  <c:v>43476</c:v>
                </c:pt>
                <c:pt idx="355">
                  <c:v>43477</c:v>
                </c:pt>
                <c:pt idx="356">
                  <c:v>43479</c:v>
                </c:pt>
                <c:pt idx="357">
                  <c:v>43480</c:v>
                </c:pt>
                <c:pt idx="358">
                  <c:v>43481</c:v>
                </c:pt>
                <c:pt idx="359">
                  <c:v>43482</c:v>
                </c:pt>
                <c:pt idx="360">
                  <c:v>43483</c:v>
                </c:pt>
                <c:pt idx="361">
                  <c:v>43484</c:v>
                </c:pt>
                <c:pt idx="362">
                  <c:v>43485</c:v>
                </c:pt>
                <c:pt idx="363">
                  <c:v>43486</c:v>
                </c:pt>
                <c:pt idx="364">
                  <c:v>43487</c:v>
                </c:pt>
                <c:pt idx="365">
                  <c:v>43488</c:v>
                </c:pt>
                <c:pt idx="366">
                  <c:v>43489</c:v>
                </c:pt>
                <c:pt idx="367">
                  <c:v>43490</c:v>
                </c:pt>
                <c:pt idx="368">
                  <c:v>43491</c:v>
                </c:pt>
                <c:pt idx="369">
                  <c:v>43492</c:v>
                </c:pt>
                <c:pt idx="370">
                  <c:v>43493</c:v>
                </c:pt>
                <c:pt idx="371">
                  <c:v>43494</c:v>
                </c:pt>
                <c:pt idx="372">
                  <c:v>43495</c:v>
                </c:pt>
                <c:pt idx="373">
                  <c:v>43496</c:v>
                </c:pt>
                <c:pt idx="374">
                  <c:v>43497</c:v>
                </c:pt>
                <c:pt idx="375">
                  <c:v>43500</c:v>
                </c:pt>
                <c:pt idx="376">
                  <c:v>43501</c:v>
                </c:pt>
                <c:pt idx="377">
                  <c:v>43502</c:v>
                </c:pt>
                <c:pt idx="378">
                  <c:v>43503</c:v>
                </c:pt>
                <c:pt idx="379">
                  <c:v>43504</c:v>
                </c:pt>
                <c:pt idx="380">
                  <c:v>43507</c:v>
                </c:pt>
                <c:pt idx="381">
                  <c:v>43508</c:v>
                </c:pt>
                <c:pt idx="382">
                  <c:v>43509</c:v>
                </c:pt>
                <c:pt idx="383">
                  <c:v>43510</c:v>
                </c:pt>
                <c:pt idx="384">
                  <c:v>43511</c:v>
                </c:pt>
                <c:pt idx="385">
                  <c:v>43514</c:v>
                </c:pt>
                <c:pt idx="386">
                  <c:v>43515</c:v>
                </c:pt>
                <c:pt idx="387">
                  <c:v>43516</c:v>
                </c:pt>
                <c:pt idx="388">
                  <c:v>43518</c:v>
                </c:pt>
                <c:pt idx="389">
                  <c:v>43519</c:v>
                </c:pt>
                <c:pt idx="390">
                  <c:v>43520</c:v>
                </c:pt>
                <c:pt idx="391">
                  <c:v>43521</c:v>
                </c:pt>
                <c:pt idx="392">
                  <c:v>43522</c:v>
                </c:pt>
                <c:pt idx="393">
                  <c:v>43523</c:v>
                </c:pt>
                <c:pt idx="394">
                  <c:v>43524</c:v>
                </c:pt>
                <c:pt idx="395">
                  <c:v>43525</c:v>
                </c:pt>
                <c:pt idx="396">
                  <c:v>43526</c:v>
                </c:pt>
                <c:pt idx="397">
                  <c:v>43527</c:v>
                </c:pt>
                <c:pt idx="398">
                  <c:v>43528</c:v>
                </c:pt>
                <c:pt idx="399">
                  <c:v>43529</c:v>
                </c:pt>
                <c:pt idx="400">
                  <c:v>43530</c:v>
                </c:pt>
                <c:pt idx="401">
                  <c:v>43531</c:v>
                </c:pt>
                <c:pt idx="402">
                  <c:v>43532</c:v>
                </c:pt>
                <c:pt idx="403">
                  <c:v>43533</c:v>
                </c:pt>
                <c:pt idx="404">
                  <c:v>43534</c:v>
                </c:pt>
                <c:pt idx="405">
                  <c:v>43535</c:v>
                </c:pt>
                <c:pt idx="406">
                  <c:v>43536</c:v>
                </c:pt>
                <c:pt idx="407">
                  <c:v>43537</c:v>
                </c:pt>
                <c:pt idx="408">
                  <c:v>43538</c:v>
                </c:pt>
                <c:pt idx="409">
                  <c:v>43539</c:v>
                </c:pt>
                <c:pt idx="410">
                  <c:v>43540</c:v>
                </c:pt>
                <c:pt idx="411">
                  <c:v>43541</c:v>
                </c:pt>
                <c:pt idx="412">
                  <c:v>43542</c:v>
                </c:pt>
                <c:pt idx="413">
                  <c:v>43543</c:v>
                </c:pt>
                <c:pt idx="414">
                  <c:v>43544</c:v>
                </c:pt>
                <c:pt idx="415">
                  <c:v>43545</c:v>
                </c:pt>
                <c:pt idx="416">
                  <c:v>43546</c:v>
                </c:pt>
                <c:pt idx="417">
                  <c:v>43547</c:v>
                </c:pt>
                <c:pt idx="418">
                  <c:v>43548</c:v>
                </c:pt>
                <c:pt idx="419">
                  <c:v>43549</c:v>
                </c:pt>
                <c:pt idx="420">
                  <c:v>43550</c:v>
                </c:pt>
                <c:pt idx="421">
                  <c:v>43551</c:v>
                </c:pt>
                <c:pt idx="422">
                  <c:v>43552</c:v>
                </c:pt>
                <c:pt idx="423">
                  <c:v>43553</c:v>
                </c:pt>
                <c:pt idx="424">
                  <c:v>43554</c:v>
                </c:pt>
                <c:pt idx="425">
                  <c:v>43555</c:v>
                </c:pt>
              </c:numCache>
            </c:numRef>
          </c:cat>
          <c:val>
            <c:numRef>
              <c:f>Sheet1!$C$4:$C$429</c:f>
              <c:numCache>
                <c:formatCode>0.00</c:formatCode>
                <c:ptCount val="426"/>
                <c:pt idx="0">
                  <c:v>1.2</c:v>
                </c:pt>
                <c:pt idx="1">
                  <c:v>1.3</c:v>
                </c:pt>
                <c:pt idx="2">
                  <c:v>1.3</c:v>
                </c:pt>
                <c:pt idx="3">
                  <c:v>1.35</c:v>
                </c:pt>
                <c:pt idx="4">
                  <c:v>1.35</c:v>
                </c:pt>
                <c:pt idx="5">
                  <c:v>1.35</c:v>
                </c:pt>
                <c:pt idx="6">
                  <c:v>1.35</c:v>
                </c:pt>
                <c:pt idx="7">
                  <c:v>1.35</c:v>
                </c:pt>
                <c:pt idx="8">
                  <c:v>1.4</c:v>
                </c:pt>
                <c:pt idx="9">
                  <c:v>1.4</c:v>
                </c:pt>
                <c:pt idx="10">
                  <c:v>1.4</c:v>
                </c:pt>
                <c:pt idx="11">
                  <c:v>1.58</c:v>
                </c:pt>
                <c:pt idx="12">
                  <c:v>1.58</c:v>
                </c:pt>
                <c:pt idx="13">
                  <c:v>1.5009999999999999</c:v>
                </c:pt>
                <c:pt idx="14">
                  <c:v>1.45</c:v>
                </c:pt>
                <c:pt idx="15">
                  <c:v>1.35</c:v>
                </c:pt>
                <c:pt idx="16">
                  <c:v>1.4</c:v>
                </c:pt>
                <c:pt idx="17">
                  <c:v>1.4</c:v>
                </c:pt>
                <c:pt idx="18">
                  <c:v>1.45</c:v>
                </c:pt>
                <c:pt idx="19">
                  <c:v>1.45</c:v>
                </c:pt>
                <c:pt idx="20">
                  <c:v>1.5</c:v>
                </c:pt>
                <c:pt idx="21">
                  <c:v>1.45</c:v>
                </c:pt>
                <c:pt idx="22">
                  <c:v>1.45</c:v>
                </c:pt>
                <c:pt idx="23">
                  <c:v>1.45</c:v>
                </c:pt>
                <c:pt idx="24">
                  <c:v>1.5</c:v>
                </c:pt>
                <c:pt idx="25">
                  <c:v>1.5</c:v>
                </c:pt>
                <c:pt idx="26">
                  <c:v>1.5</c:v>
                </c:pt>
                <c:pt idx="27">
                  <c:v>1.5</c:v>
                </c:pt>
                <c:pt idx="28">
                  <c:v>1.55</c:v>
                </c:pt>
                <c:pt idx="29">
                  <c:v>1.55</c:v>
                </c:pt>
                <c:pt idx="30">
                  <c:v>1.6</c:v>
                </c:pt>
                <c:pt idx="31">
                  <c:v>1.6</c:v>
                </c:pt>
                <c:pt idx="32">
                  <c:v>1.6</c:v>
                </c:pt>
                <c:pt idx="33">
                  <c:v>1.6</c:v>
                </c:pt>
                <c:pt idx="34">
                  <c:v>1.6</c:v>
                </c:pt>
                <c:pt idx="35">
                  <c:v>1.6</c:v>
                </c:pt>
                <c:pt idx="36">
                  <c:v>1.6</c:v>
                </c:pt>
                <c:pt idx="37">
                  <c:v>1.63</c:v>
                </c:pt>
                <c:pt idx="38">
                  <c:v>1.63</c:v>
                </c:pt>
                <c:pt idx="39">
                  <c:v>1.65</c:v>
                </c:pt>
                <c:pt idx="40">
                  <c:v>1.65</c:v>
                </c:pt>
                <c:pt idx="41">
                  <c:v>1.65</c:v>
                </c:pt>
                <c:pt idx="42">
                  <c:v>1.65</c:v>
                </c:pt>
                <c:pt idx="43">
                  <c:v>1.65</c:v>
                </c:pt>
                <c:pt idx="44">
                  <c:v>1.65</c:v>
                </c:pt>
                <c:pt idx="45">
                  <c:v>1.65</c:v>
                </c:pt>
                <c:pt idx="46">
                  <c:v>1.65</c:v>
                </c:pt>
                <c:pt idx="47">
                  <c:v>1.68</c:v>
                </c:pt>
                <c:pt idx="48">
                  <c:v>1.68</c:v>
                </c:pt>
                <c:pt idx="49">
                  <c:v>1.7</c:v>
                </c:pt>
                <c:pt idx="50">
                  <c:v>1.85</c:v>
                </c:pt>
                <c:pt idx="51">
                  <c:v>1.85</c:v>
                </c:pt>
                <c:pt idx="52">
                  <c:v>1.78</c:v>
                </c:pt>
                <c:pt idx="53">
                  <c:v>1.8</c:v>
                </c:pt>
                <c:pt idx="54">
                  <c:v>1.83</c:v>
                </c:pt>
                <c:pt idx="55">
                  <c:v>1.8</c:v>
                </c:pt>
                <c:pt idx="56">
                  <c:v>1.74</c:v>
                </c:pt>
                <c:pt idx="57">
                  <c:v>1.7</c:v>
                </c:pt>
                <c:pt idx="58">
                  <c:v>1.6</c:v>
                </c:pt>
                <c:pt idx="59">
                  <c:v>1.55</c:v>
                </c:pt>
                <c:pt idx="60">
                  <c:v>1.5</c:v>
                </c:pt>
                <c:pt idx="61">
                  <c:v>1.48</c:v>
                </c:pt>
                <c:pt idx="62">
                  <c:v>1.47</c:v>
                </c:pt>
                <c:pt idx="63">
                  <c:v>1.46</c:v>
                </c:pt>
                <c:pt idx="64">
                  <c:v>1.45</c:v>
                </c:pt>
                <c:pt idx="65">
                  <c:v>1.46</c:v>
                </c:pt>
                <c:pt idx="66">
                  <c:v>1.47</c:v>
                </c:pt>
                <c:pt idx="67">
                  <c:v>1.48</c:v>
                </c:pt>
                <c:pt idx="68">
                  <c:v>1.49</c:v>
                </c:pt>
                <c:pt idx="69">
                  <c:v>1.5</c:v>
                </c:pt>
                <c:pt idx="70">
                  <c:v>1.55</c:v>
                </c:pt>
                <c:pt idx="71">
                  <c:v>1.6</c:v>
                </c:pt>
                <c:pt idx="72">
                  <c:v>1.65</c:v>
                </c:pt>
                <c:pt idx="73">
                  <c:v>1.7</c:v>
                </c:pt>
                <c:pt idx="74">
                  <c:v>1.6</c:v>
                </c:pt>
                <c:pt idx="75">
                  <c:v>1.52</c:v>
                </c:pt>
                <c:pt idx="76">
                  <c:v>1.5</c:v>
                </c:pt>
                <c:pt idx="77">
                  <c:v>1.4</c:v>
                </c:pt>
                <c:pt idx="78">
                  <c:v>1.4</c:v>
                </c:pt>
                <c:pt idx="79">
                  <c:v>1.4</c:v>
                </c:pt>
                <c:pt idx="80">
                  <c:v>1.4</c:v>
                </c:pt>
                <c:pt idx="81">
                  <c:v>1.35</c:v>
                </c:pt>
                <c:pt idx="82">
                  <c:v>1.35</c:v>
                </c:pt>
                <c:pt idx="83">
                  <c:v>1.5</c:v>
                </c:pt>
                <c:pt idx="84">
                  <c:v>1.4</c:v>
                </c:pt>
                <c:pt idx="85">
                  <c:v>1.4</c:v>
                </c:pt>
                <c:pt idx="86">
                  <c:v>1.35</c:v>
                </c:pt>
                <c:pt idx="87">
                  <c:v>1.35</c:v>
                </c:pt>
                <c:pt idx="88">
                  <c:v>1.35</c:v>
                </c:pt>
                <c:pt idx="89">
                  <c:v>1.4</c:v>
                </c:pt>
                <c:pt idx="90">
                  <c:v>1.4</c:v>
                </c:pt>
                <c:pt idx="91">
                  <c:v>1.45</c:v>
                </c:pt>
                <c:pt idx="92">
                  <c:v>1.5</c:v>
                </c:pt>
                <c:pt idx="93">
                  <c:v>1.4</c:v>
                </c:pt>
                <c:pt idx="94">
                  <c:v>1.4</c:v>
                </c:pt>
                <c:pt idx="95">
                  <c:v>1.4</c:v>
                </c:pt>
                <c:pt idx="96">
                  <c:v>1.45</c:v>
                </c:pt>
                <c:pt idx="97">
                  <c:v>1.45</c:v>
                </c:pt>
                <c:pt idx="98">
                  <c:v>1.45</c:v>
                </c:pt>
                <c:pt idx="99">
                  <c:v>1.45</c:v>
                </c:pt>
                <c:pt idx="100">
                  <c:v>1.45</c:v>
                </c:pt>
                <c:pt idx="101">
                  <c:v>1.43</c:v>
                </c:pt>
                <c:pt idx="102">
                  <c:v>1.42</c:v>
                </c:pt>
                <c:pt idx="103">
                  <c:v>1.42</c:v>
                </c:pt>
                <c:pt idx="104">
                  <c:v>1.4</c:v>
                </c:pt>
                <c:pt idx="105">
                  <c:v>1.4</c:v>
                </c:pt>
                <c:pt idx="106">
                  <c:v>1.4</c:v>
                </c:pt>
                <c:pt idx="107">
                  <c:v>1.4</c:v>
                </c:pt>
                <c:pt idx="108">
                  <c:v>1.4</c:v>
                </c:pt>
                <c:pt idx="109">
                  <c:v>1.4</c:v>
                </c:pt>
                <c:pt idx="110">
                  <c:v>1.4</c:v>
                </c:pt>
                <c:pt idx="111">
                  <c:v>1.38</c:v>
                </c:pt>
                <c:pt idx="112">
                  <c:v>1.38</c:v>
                </c:pt>
                <c:pt idx="113">
                  <c:v>1.38</c:v>
                </c:pt>
                <c:pt idx="114">
                  <c:v>1.38</c:v>
                </c:pt>
                <c:pt idx="115">
                  <c:v>1.38</c:v>
                </c:pt>
                <c:pt idx="116">
                  <c:v>1.38</c:v>
                </c:pt>
                <c:pt idx="117">
                  <c:v>1.38</c:v>
                </c:pt>
                <c:pt idx="118">
                  <c:v>1.4</c:v>
                </c:pt>
                <c:pt idx="119">
                  <c:v>1.4</c:v>
                </c:pt>
                <c:pt idx="120">
                  <c:v>1.4</c:v>
                </c:pt>
                <c:pt idx="121">
                  <c:v>1.4</c:v>
                </c:pt>
                <c:pt idx="122">
                  <c:v>1.4</c:v>
                </c:pt>
                <c:pt idx="123">
                  <c:v>1.4</c:v>
                </c:pt>
                <c:pt idx="124">
                  <c:v>1.4</c:v>
                </c:pt>
                <c:pt idx="125">
                  <c:v>1.4</c:v>
                </c:pt>
                <c:pt idx="126">
                  <c:v>1.42</c:v>
                </c:pt>
                <c:pt idx="127">
                  <c:v>1.42</c:v>
                </c:pt>
                <c:pt idx="128">
                  <c:v>1.4</c:v>
                </c:pt>
                <c:pt idx="129">
                  <c:v>1.42</c:v>
                </c:pt>
                <c:pt idx="130">
                  <c:v>1.4</c:v>
                </c:pt>
                <c:pt idx="131">
                  <c:v>1.4</c:v>
                </c:pt>
                <c:pt idx="132">
                  <c:v>1.4</c:v>
                </c:pt>
                <c:pt idx="133">
                  <c:v>1.4</c:v>
                </c:pt>
                <c:pt idx="134">
                  <c:v>1.4</c:v>
                </c:pt>
                <c:pt idx="135">
                  <c:v>1.4</c:v>
                </c:pt>
                <c:pt idx="136">
                  <c:v>1.4</c:v>
                </c:pt>
                <c:pt idx="137">
                  <c:v>1.42</c:v>
                </c:pt>
                <c:pt idx="138">
                  <c:v>1.44</c:v>
                </c:pt>
                <c:pt idx="139">
                  <c:v>1.44</c:v>
                </c:pt>
                <c:pt idx="140">
                  <c:v>1.45</c:v>
                </c:pt>
                <c:pt idx="141">
                  <c:v>1.45</c:v>
                </c:pt>
                <c:pt idx="142">
                  <c:v>1.42</c:v>
                </c:pt>
                <c:pt idx="143">
                  <c:v>1.42</c:v>
                </c:pt>
                <c:pt idx="144">
                  <c:v>1.42</c:v>
                </c:pt>
                <c:pt idx="145">
                  <c:v>1.42</c:v>
                </c:pt>
                <c:pt idx="146">
                  <c:v>1.42</c:v>
                </c:pt>
                <c:pt idx="147">
                  <c:v>1.42</c:v>
                </c:pt>
                <c:pt idx="148">
                  <c:v>1.42</c:v>
                </c:pt>
                <c:pt idx="149">
                  <c:v>1.4</c:v>
                </c:pt>
                <c:pt idx="150">
                  <c:v>1.42</c:v>
                </c:pt>
                <c:pt idx="151">
                  <c:v>1.42</c:v>
                </c:pt>
                <c:pt idx="152">
                  <c:v>1.42</c:v>
                </c:pt>
                <c:pt idx="153">
                  <c:v>1.42</c:v>
                </c:pt>
                <c:pt idx="154">
                  <c:v>1.42</c:v>
                </c:pt>
                <c:pt idx="155">
                  <c:v>1.42</c:v>
                </c:pt>
                <c:pt idx="156">
                  <c:v>1.42</c:v>
                </c:pt>
                <c:pt idx="157">
                  <c:v>1.42</c:v>
                </c:pt>
                <c:pt idx="158">
                  <c:v>1.4</c:v>
                </c:pt>
                <c:pt idx="159">
                  <c:v>1.4</c:v>
                </c:pt>
                <c:pt idx="160">
                  <c:v>1.4</c:v>
                </c:pt>
                <c:pt idx="161">
                  <c:v>1.4</c:v>
                </c:pt>
                <c:pt idx="162">
                  <c:v>1.4</c:v>
                </c:pt>
                <c:pt idx="163">
                  <c:v>1.4</c:v>
                </c:pt>
                <c:pt idx="164">
                  <c:v>1.4</c:v>
                </c:pt>
                <c:pt idx="165">
                  <c:v>1.4</c:v>
                </c:pt>
                <c:pt idx="166">
                  <c:v>1.4</c:v>
                </c:pt>
                <c:pt idx="167">
                  <c:v>1.42</c:v>
                </c:pt>
                <c:pt idx="168">
                  <c:v>1.42</c:v>
                </c:pt>
                <c:pt idx="169">
                  <c:v>1.4</c:v>
                </c:pt>
                <c:pt idx="170">
                  <c:v>1.4</c:v>
                </c:pt>
                <c:pt idx="171">
                  <c:v>1.4</c:v>
                </c:pt>
                <c:pt idx="172">
                  <c:v>1.42</c:v>
                </c:pt>
                <c:pt idx="173">
                  <c:v>1.42</c:v>
                </c:pt>
                <c:pt idx="174">
                  <c:v>1.42</c:v>
                </c:pt>
                <c:pt idx="175">
                  <c:v>1.4</c:v>
                </c:pt>
                <c:pt idx="176">
                  <c:v>1.4</c:v>
                </c:pt>
                <c:pt idx="177">
                  <c:v>1.4</c:v>
                </c:pt>
                <c:pt idx="178">
                  <c:v>1.4</c:v>
                </c:pt>
                <c:pt idx="179">
                  <c:v>1.4</c:v>
                </c:pt>
                <c:pt idx="180">
                  <c:v>1.4</c:v>
                </c:pt>
                <c:pt idx="181">
                  <c:v>1.4</c:v>
                </c:pt>
                <c:pt idx="182">
                  <c:v>1.46</c:v>
                </c:pt>
                <c:pt idx="183">
                  <c:v>1.48</c:v>
                </c:pt>
                <c:pt idx="184">
                  <c:v>1.5</c:v>
                </c:pt>
                <c:pt idx="185">
                  <c:v>1.55</c:v>
                </c:pt>
                <c:pt idx="186">
                  <c:v>1.55</c:v>
                </c:pt>
                <c:pt idx="187">
                  <c:v>1.55</c:v>
                </c:pt>
                <c:pt idx="188">
                  <c:v>1.6</c:v>
                </c:pt>
                <c:pt idx="189">
                  <c:v>1.6</c:v>
                </c:pt>
                <c:pt idx="190">
                  <c:v>1.6</c:v>
                </c:pt>
                <c:pt idx="191">
                  <c:v>1.6</c:v>
                </c:pt>
                <c:pt idx="192">
                  <c:v>1.6</c:v>
                </c:pt>
                <c:pt idx="193">
                  <c:v>1.6</c:v>
                </c:pt>
                <c:pt idx="194">
                  <c:v>1.6</c:v>
                </c:pt>
                <c:pt idx="195">
                  <c:v>1.6</c:v>
                </c:pt>
                <c:pt idx="196">
                  <c:v>1.58</c:v>
                </c:pt>
                <c:pt idx="197">
                  <c:v>1.58</c:v>
                </c:pt>
                <c:pt idx="198">
                  <c:v>1.58</c:v>
                </c:pt>
                <c:pt idx="199">
                  <c:v>1.58</c:v>
                </c:pt>
                <c:pt idx="200">
                  <c:v>1.58</c:v>
                </c:pt>
                <c:pt idx="201">
                  <c:v>1.6</c:v>
                </c:pt>
                <c:pt idx="202">
                  <c:v>1.6</c:v>
                </c:pt>
                <c:pt idx="203">
                  <c:v>1.6</c:v>
                </c:pt>
                <c:pt idx="204">
                  <c:v>1.6</c:v>
                </c:pt>
                <c:pt idx="205">
                  <c:v>1.6</c:v>
                </c:pt>
                <c:pt idx="206">
                  <c:v>1.6</c:v>
                </c:pt>
                <c:pt idx="207">
                  <c:v>1.58</c:v>
                </c:pt>
                <c:pt idx="208">
                  <c:v>1.58</c:v>
                </c:pt>
                <c:pt idx="209">
                  <c:v>1.6</c:v>
                </c:pt>
                <c:pt idx="210">
                  <c:v>1.6</c:v>
                </c:pt>
                <c:pt idx="211">
                  <c:v>1.58</c:v>
                </c:pt>
                <c:pt idx="212">
                  <c:v>1.6</c:v>
                </c:pt>
                <c:pt idx="213">
                  <c:v>1.6</c:v>
                </c:pt>
                <c:pt idx="214">
                  <c:v>1.75</c:v>
                </c:pt>
                <c:pt idx="215">
                  <c:v>1.8</c:v>
                </c:pt>
                <c:pt idx="216">
                  <c:v>1.8</c:v>
                </c:pt>
                <c:pt idx="217">
                  <c:v>1.8</c:v>
                </c:pt>
                <c:pt idx="218">
                  <c:v>1.8</c:v>
                </c:pt>
                <c:pt idx="219">
                  <c:v>1.7</c:v>
                </c:pt>
                <c:pt idx="220">
                  <c:v>1.68</c:v>
                </c:pt>
                <c:pt idx="221">
                  <c:v>1.65</c:v>
                </c:pt>
                <c:pt idx="222">
                  <c:v>1.65</c:v>
                </c:pt>
                <c:pt idx="223">
                  <c:v>1.63</c:v>
                </c:pt>
                <c:pt idx="224">
                  <c:v>1.63</c:v>
                </c:pt>
                <c:pt idx="225">
                  <c:v>1.6</c:v>
                </c:pt>
                <c:pt idx="226">
                  <c:v>1.6</c:v>
                </c:pt>
                <c:pt idx="227">
                  <c:v>1.63</c:v>
                </c:pt>
                <c:pt idx="228">
                  <c:v>1.65</c:v>
                </c:pt>
                <c:pt idx="229">
                  <c:v>1.6</c:v>
                </c:pt>
                <c:pt idx="230">
                  <c:v>1.6</c:v>
                </c:pt>
                <c:pt idx="231">
                  <c:v>1.6</c:v>
                </c:pt>
                <c:pt idx="232">
                  <c:v>1.65</c:v>
                </c:pt>
                <c:pt idx="233">
                  <c:v>1.7</c:v>
                </c:pt>
                <c:pt idx="234">
                  <c:v>1.7</c:v>
                </c:pt>
                <c:pt idx="235">
                  <c:v>1.7</c:v>
                </c:pt>
                <c:pt idx="236">
                  <c:v>1.75</c:v>
                </c:pt>
                <c:pt idx="237">
                  <c:v>1.75</c:v>
                </c:pt>
                <c:pt idx="238">
                  <c:v>1.75</c:v>
                </c:pt>
                <c:pt idx="239">
                  <c:v>1.72</c:v>
                </c:pt>
                <c:pt idx="240">
                  <c:v>1.73</c:v>
                </c:pt>
                <c:pt idx="241">
                  <c:v>1.75</c:v>
                </c:pt>
                <c:pt idx="242">
                  <c:v>1.75</c:v>
                </c:pt>
                <c:pt idx="243">
                  <c:v>1.76</c:v>
                </c:pt>
                <c:pt idx="244">
                  <c:v>1.8</c:v>
                </c:pt>
                <c:pt idx="245">
                  <c:v>1.77</c:v>
                </c:pt>
                <c:pt idx="246">
                  <c:v>1.77</c:v>
                </c:pt>
                <c:pt idx="247">
                  <c:v>1.75</c:v>
                </c:pt>
                <c:pt idx="248">
                  <c:v>1.73</c:v>
                </c:pt>
                <c:pt idx="249">
                  <c:v>1.73</c:v>
                </c:pt>
                <c:pt idx="250">
                  <c:v>1.75</c:v>
                </c:pt>
                <c:pt idx="251">
                  <c:v>1.75</c:v>
                </c:pt>
                <c:pt idx="252">
                  <c:v>1.75</c:v>
                </c:pt>
                <c:pt idx="253">
                  <c:v>1.75</c:v>
                </c:pt>
                <c:pt idx="254">
                  <c:v>1.8</c:v>
                </c:pt>
                <c:pt idx="255">
                  <c:v>1.81</c:v>
                </c:pt>
                <c:pt idx="256">
                  <c:v>1.83</c:v>
                </c:pt>
                <c:pt idx="257">
                  <c:v>1.85</c:v>
                </c:pt>
                <c:pt idx="258">
                  <c:v>2</c:v>
                </c:pt>
                <c:pt idx="259">
                  <c:v>1.95</c:v>
                </c:pt>
                <c:pt idx="260">
                  <c:v>1.93</c:v>
                </c:pt>
                <c:pt idx="261">
                  <c:v>1.92</c:v>
                </c:pt>
                <c:pt idx="262">
                  <c:v>1.92</c:v>
                </c:pt>
                <c:pt idx="263">
                  <c:v>1.92</c:v>
                </c:pt>
                <c:pt idx="264">
                  <c:v>2</c:v>
                </c:pt>
                <c:pt idx="265">
                  <c:v>2</c:v>
                </c:pt>
                <c:pt idx="266">
                  <c:v>2.0299999999999998</c:v>
                </c:pt>
                <c:pt idx="267">
                  <c:v>2.1</c:v>
                </c:pt>
                <c:pt idx="268">
                  <c:v>2.15</c:v>
                </c:pt>
                <c:pt idx="269">
                  <c:v>2.15</c:v>
                </c:pt>
                <c:pt idx="270">
                  <c:v>2.15</c:v>
                </c:pt>
                <c:pt idx="271">
                  <c:v>2.1800000000000002</c:v>
                </c:pt>
                <c:pt idx="272">
                  <c:v>2.2000000000000002</c:v>
                </c:pt>
                <c:pt idx="273">
                  <c:v>2.5</c:v>
                </c:pt>
                <c:pt idx="274">
                  <c:v>2.95</c:v>
                </c:pt>
                <c:pt idx="275">
                  <c:v>5</c:v>
                </c:pt>
                <c:pt idx="276">
                  <c:v>5.5</c:v>
                </c:pt>
                <c:pt idx="277">
                  <c:v>7</c:v>
                </c:pt>
                <c:pt idx="278">
                  <c:v>2.5</c:v>
                </c:pt>
                <c:pt idx="279">
                  <c:v>2.8</c:v>
                </c:pt>
                <c:pt idx="280">
                  <c:v>3</c:v>
                </c:pt>
                <c:pt idx="281">
                  <c:v>3.9</c:v>
                </c:pt>
                <c:pt idx="282">
                  <c:v>3.5</c:v>
                </c:pt>
                <c:pt idx="283">
                  <c:v>3.5</c:v>
                </c:pt>
                <c:pt idx="284">
                  <c:v>3.5</c:v>
                </c:pt>
                <c:pt idx="285">
                  <c:v>3</c:v>
                </c:pt>
                <c:pt idx="286">
                  <c:v>2.5</c:v>
                </c:pt>
                <c:pt idx="287">
                  <c:v>2.8</c:v>
                </c:pt>
                <c:pt idx="288">
                  <c:v>3</c:v>
                </c:pt>
                <c:pt idx="289">
                  <c:v>3</c:v>
                </c:pt>
                <c:pt idx="290">
                  <c:v>3</c:v>
                </c:pt>
                <c:pt idx="291">
                  <c:v>3.2</c:v>
                </c:pt>
                <c:pt idx="292">
                  <c:v>3.2</c:v>
                </c:pt>
                <c:pt idx="293">
                  <c:v>3.2</c:v>
                </c:pt>
                <c:pt idx="294">
                  <c:v>3.2</c:v>
                </c:pt>
                <c:pt idx="295">
                  <c:v>3.3</c:v>
                </c:pt>
                <c:pt idx="296">
                  <c:v>3.3</c:v>
                </c:pt>
                <c:pt idx="297">
                  <c:v>3.4</c:v>
                </c:pt>
                <c:pt idx="298">
                  <c:v>3.4</c:v>
                </c:pt>
                <c:pt idx="299">
                  <c:v>3.4</c:v>
                </c:pt>
                <c:pt idx="300">
                  <c:v>3.5</c:v>
                </c:pt>
                <c:pt idx="301">
                  <c:v>3.2</c:v>
                </c:pt>
                <c:pt idx="302">
                  <c:v>3.2</c:v>
                </c:pt>
                <c:pt idx="303">
                  <c:v>3.2</c:v>
                </c:pt>
                <c:pt idx="304">
                  <c:v>3.2</c:v>
                </c:pt>
                <c:pt idx="305">
                  <c:v>3.2</c:v>
                </c:pt>
                <c:pt idx="306">
                  <c:v>3.2</c:v>
                </c:pt>
                <c:pt idx="307">
                  <c:v>3.2</c:v>
                </c:pt>
                <c:pt idx="308">
                  <c:v>3.2</c:v>
                </c:pt>
                <c:pt idx="309">
                  <c:v>3.2</c:v>
                </c:pt>
                <c:pt idx="310">
                  <c:v>3.2</c:v>
                </c:pt>
                <c:pt idx="311">
                  <c:v>3.5</c:v>
                </c:pt>
                <c:pt idx="312">
                  <c:v>3.5</c:v>
                </c:pt>
                <c:pt idx="313">
                  <c:v>3.5</c:v>
                </c:pt>
                <c:pt idx="314">
                  <c:v>3.5</c:v>
                </c:pt>
                <c:pt idx="315">
                  <c:v>3.5</c:v>
                </c:pt>
                <c:pt idx="316">
                  <c:v>3.5</c:v>
                </c:pt>
                <c:pt idx="317">
                  <c:v>3.5</c:v>
                </c:pt>
                <c:pt idx="318">
                  <c:v>3.5</c:v>
                </c:pt>
                <c:pt idx="319">
                  <c:v>3.5</c:v>
                </c:pt>
                <c:pt idx="320">
                  <c:v>3.5</c:v>
                </c:pt>
                <c:pt idx="321">
                  <c:v>3.5</c:v>
                </c:pt>
                <c:pt idx="322">
                  <c:v>3.5</c:v>
                </c:pt>
                <c:pt idx="323">
                  <c:v>3.5</c:v>
                </c:pt>
                <c:pt idx="324">
                  <c:v>3.5</c:v>
                </c:pt>
                <c:pt idx="325">
                  <c:v>3.5</c:v>
                </c:pt>
                <c:pt idx="326">
                  <c:v>3.5</c:v>
                </c:pt>
                <c:pt idx="327">
                  <c:v>3.5</c:v>
                </c:pt>
                <c:pt idx="328">
                  <c:v>3.5</c:v>
                </c:pt>
                <c:pt idx="329">
                  <c:v>3.5</c:v>
                </c:pt>
                <c:pt idx="330">
                  <c:v>3.5</c:v>
                </c:pt>
                <c:pt idx="331">
                  <c:v>3.5</c:v>
                </c:pt>
                <c:pt idx="332">
                  <c:v>3.5</c:v>
                </c:pt>
                <c:pt idx="333">
                  <c:v>3.5</c:v>
                </c:pt>
                <c:pt idx="334">
                  <c:v>3.5</c:v>
                </c:pt>
                <c:pt idx="335">
                  <c:v>3.5</c:v>
                </c:pt>
                <c:pt idx="336">
                  <c:v>3.5</c:v>
                </c:pt>
                <c:pt idx="337">
                  <c:v>3.5</c:v>
                </c:pt>
                <c:pt idx="338">
                  <c:v>3.5</c:v>
                </c:pt>
                <c:pt idx="339">
                  <c:v>3.5</c:v>
                </c:pt>
                <c:pt idx="340">
                  <c:v>3.5</c:v>
                </c:pt>
                <c:pt idx="341">
                  <c:v>3.5</c:v>
                </c:pt>
                <c:pt idx="342">
                  <c:v>3.5</c:v>
                </c:pt>
                <c:pt idx="343">
                  <c:v>3.5</c:v>
                </c:pt>
                <c:pt idx="344">
                  <c:v>3.5</c:v>
                </c:pt>
                <c:pt idx="345">
                  <c:v>3.5</c:v>
                </c:pt>
                <c:pt idx="346">
                  <c:v>3.5</c:v>
                </c:pt>
                <c:pt idx="347">
                  <c:v>3.5</c:v>
                </c:pt>
                <c:pt idx="348">
                  <c:v>3.5</c:v>
                </c:pt>
                <c:pt idx="349">
                  <c:v>3.5</c:v>
                </c:pt>
                <c:pt idx="350">
                  <c:v>3.3</c:v>
                </c:pt>
                <c:pt idx="351">
                  <c:v>3.3</c:v>
                </c:pt>
                <c:pt idx="352">
                  <c:v>3.3</c:v>
                </c:pt>
                <c:pt idx="353">
                  <c:v>3.3</c:v>
                </c:pt>
                <c:pt idx="354">
                  <c:v>3.3</c:v>
                </c:pt>
                <c:pt idx="355">
                  <c:v>3.3</c:v>
                </c:pt>
                <c:pt idx="356">
                  <c:v>3.3</c:v>
                </c:pt>
                <c:pt idx="357">
                  <c:v>3.3</c:v>
                </c:pt>
                <c:pt idx="358">
                  <c:v>3.3</c:v>
                </c:pt>
                <c:pt idx="359">
                  <c:v>3.3</c:v>
                </c:pt>
                <c:pt idx="360">
                  <c:v>3.5</c:v>
                </c:pt>
                <c:pt idx="361">
                  <c:v>3.5</c:v>
                </c:pt>
                <c:pt idx="362">
                  <c:v>3.5</c:v>
                </c:pt>
                <c:pt idx="363">
                  <c:v>3.5</c:v>
                </c:pt>
                <c:pt idx="364">
                  <c:v>3.5</c:v>
                </c:pt>
                <c:pt idx="365">
                  <c:v>3.6</c:v>
                </c:pt>
                <c:pt idx="366">
                  <c:v>3.7</c:v>
                </c:pt>
                <c:pt idx="367">
                  <c:v>3.8</c:v>
                </c:pt>
                <c:pt idx="368">
                  <c:v>3.8</c:v>
                </c:pt>
                <c:pt idx="369">
                  <c:v>3.8</c:v>
                </c:pt>
                <c:pt idx="370">
                  <c:v>3.8</c:v>
                </c:pt>
                <c:pt idx="371">
                  <c:v>3.8</c:v>
                </c:pt>
                <c:pt idx="372">
                  <c:v>3.8</c:v>
                </c:pt>
                <c:pt idx="373">
                  <c:v>3.8</c:v>
                </c:pt>
                <c:pt idx="374">
                  <c:v>4</c:v>
                </c:pt>
                <c:pt idx="375">
                  <c:v>4</c:v>
                </c:pt>
                <c:pt idx="376">
                  <c:v>4</c:v>
                </c:pt>
                <c:pt idx="377">
                  <c:v>3.6</c:v>
                </c:pt>
                <c:pt idx="378">
                  <c:v>3.6</c:v>
                </c:pt>
                <c:pt idx="379">
                  <c:v>3.7</c:v>
                </c:pt>
                <c:pt idx="380">
                  <c:v>3.7</c:v>
                </c:pt>
                <c:pt idx="381">
                  <c:v>3.7</c:v>
                </c:pt>
                <c:pt idx="382">
                  <c:v>3.7</c:v>
                </c:pt>
                <c:pt idx="383">
                  <c:v>3.7</c:v>
                </c:pt>
                <c:pt idx="384">
                  <c:v>3.7</c:v>
                </c:pt>
                <c:pt idx="385">
                  <c:v>3.8</c:v>
                </c:pt>
                <c:pt idx="386">
                  <c:v>3.75</c:v>
                </c:pt>
                <c:pt idx="387" formatCode="General">
                  <c:v>3.8</c:v>
                </c:pt>
                <c:pt idx="388" formatCode="General">
                  <c:v>3.6</c:v>
                </c:pt>
                <c:pt idx="389" formatCode="General">
                  <c:v>3.6</c:v>
                </c:pt>
                <c:pt idx="390" formatCode="General">
                  <c:v>3.6</c:v>
                </c:pt>
                <c:pt idx="391" formatCode="General">
                  <c:v>3.55</c:v>
                </c:pt>
                <c:pt idx="392" formatCode="General">
                  <c:v>3.5</c:v>
                </c:pt>
                <c:pt idx="393" formatCode="General">
                  <c:v>3.5</c:v>
                </c:pt>
                <c:pt idx="394" formatCode="General">
                  <c:v>3.45</c:v>
                </c:pt>
                <c:pt idx="395" formatCode="General">
                  <c:v>3.5</c:v>
                </c:pt>
                <c:pt idx="396" formatCode="General">
                  <c:v>3.5</c:v>
                </c:pt>
                <c:pt idx="397" formatCode="General">
                  <c:v>3.5</c:v>
                </c:pt>
                <c:pt idx="398" formatCode="General">
                  <c:v>3.5</c:v>
                </c:pt>
                <c:pt idx="399" formatCode="General">
                  <c:v>3.55</c:v>
                </c:pt>
                <c:pt idx="400" formatCode="General">
                  <c:v>3.55</c:v>
                </c:pt>
                <c:pt idx="401" formatCode="General">
                  <c:v>3.6</c:v>
                </c:pt>
                <c:pt idx="402" formatCode="General">
                  <c:v>3.6</c:v>
                </c:pt>
                <c:pt idx="403" formatCode="General">
                  <c:v>3.6</c:v>
                </c:pt>
                <c:pt idx="404" formatCode="General">
                  <c:v>3.6</c:v>
                </c:pt>
                <c:pt idx="405" formatCode="General">
                  <c:v>3.55</c:v>
                </c:pt>
                <c:pt idx="406" formatCode="General">
                  <c:v>3.55</c:v>
                </c:pt>
                <c:pt idx="407" formatCode="General">
                  <c:v>3.55</c:v>
                </c:pt>
                <c:pt idx="408" formatCode="General">
                  <c:v>3.6</c:v>
                </c:pt>
                <c:pt idx="409" formatCode="General">
                  <c:v>3.65</c:v>
                </c:pt>
                <c:pt idx="410" formatCode="General">
                  <c:v>3.65</c:v>
                </c:pt>
                <c:pt idx="411" formatCode="General">
                  <c:v>3.65</c:v>
                </c:pt>
                <c:pt idx="412" formatCode="General">
                  <c:v>3.65</c:v>
                </c:pt>
                <c:pt idx="413" formatCode="General">
                  <c:v>3.7</c:v>
                </c:pt>
                <c:pt idx="414" formatCode="General">
                  <c:v>3.7</c:v>
                </c:pt>
                <c:pt idx="415" formatCode="General">
                  <c:v>3.75</c:v>
                </c:pt>
                <c:pt idx="416" formatCode="General">
                  <c:v>3.75</c:v>
                </c:pt>
                <c:pt idx="417" formatCode="General">
                  <c:v>3.75</c:v>
                </c:pt>
                <c:pt idx="418" formatCode="General">
                  <c:v>3.75</c:v>
                </c:pt>
                <c:pt idx="419" formatCode="General">
                  <c:v>3.7</c:v>
                </c:pt>
                <c:pt idx="420" formatCode="General">
                  <c:v>3.8</c:v>
                </c:pt>
                <c:pt idx="421" formatCode="General">
                  <c:v>4.0999999999999996</c:v>
                </c:pt>
                <c:pt idx="422" formatCode="General">
                  <c:v>4.2</c:v>
                </c:pt>
                <c:pt idx="423" formatCode="General">
                  <c:v>4.2</c:v>
                </c:pt>
                <c:pt idx="424" formatCode="General">
                  <c:v>4.2</c:v>
                </c:pt>
                <c:pt idx="425" formatCode="General">
                  <c:v>4.2</c:v>
                </c:pt>
              </c:numCache>
            </c:numRef>
          </c:val>
          <c:smooth val="0"/>
          <c:extLst>
            <c:ext xmlns:c16="http://schemas.microsoft.com/office/drawing/2014/chart" uri="{C3380CC4-5D6E-409C-BE32-E72D297353CC}">
              <c16:uniqueId val="{00000000-60FF-4A57-A3C0-F86E7A836586}"/>
            </c:ext>
          </c:extLst>
        </c:ser>
        <c:ser>
          <c:idx val="1"/>
          <c:order val="1"/>
          <c:tx>
            <c:v>Official Exchange Rate </c:v>
          </c:tx>
          <c:spPr>
            <a:ln w="28575" cap="rnd">
              <a:solidFill>
                <a:schemeClr val="accent2"/>
              </a:solidFill>
              <a:round/>
            </a:ln>
            <a:effectLst/>
          </c:spPr>
          <c:marker>
            <c:symbol val="none"/>
          </c:marker>
          <c:cat>
            <c:numRef>
              <c:f>Sheet1!$A$4:$A$429</c:f>
              <c:numCache>
                <c:formatCode>[$-3009]dd\-mmm\-yy;@</c:formatCode>
                <c:ptCount val="426"/>
                <c:pt idx="0">
                  <c:v>42979</c:v>
                </c:pt>
                <c:pt idx="1">
                  <c:v>42982</c:v>
                </c:pt>
                <c:pt idx="2">
                  <c:v>42983</c:v>
                </c:pt>
                <c:pt idx="3">
                  <c:v>42984</c:v>
                </c:pt>
                <c:pt idx="4">
                  <c:v>42985</c:v>
                </c:pt>
                <c:pt idx="5">
                  <c:v>42986</c:v>
                </c:pt>
                <c:pt idx="6">
                  <c:v>42989</c:v>
                </c:pt>
                <c:pt idx="7">
                  <c:v>42990</c:v>
                </c:pt>
                <c:pt idx="8">
                  <c:v>42991</c:v>
                </c:pt>
                <c:pt idx="9">
                  <c:v>42992</c:v>
                </c:pt>
                <c:pt idx="10">
                  <c:v>42993</c:v>
                </c:pt>
                <c:pt idx="11">
                  <c:v>43000</c:v>
                </c:pt>
                <c:pt idx="12">
                  <c:v>43003</c:v>
                </c:pt>
                <c:pt idx="13">
                  <c:v>43004</c:v>
                </c:pt>
                <c:pt idx="14">
                  <c:v>43005</c:v>
                </c:pt>
                <c:pt idx="15">
                  <c:v>43006</c:v>
                </c:pt>
                <c:pt idx="16">
                  <c:v>43007</c:v>
                </c:pt>
                <c:pt idx="17">
                  <c:v>43008</c:v>
                </c:pt>
                <c:pt idx="18">
                  <c:v>43010</c:v>
                </c:pt>
                <c:pt idx="19">
                  <c:v>43011</c:v>
                </c:pt>
                <c:pt idx="20">
                  <c:v>43012</c:v>
                </c:pt>
                <c:pt idx="21">
                  <c:v>43013</c:v>
                </c:pt>
                <c:pt idx="22">
                  <c:v>43014</c:v>
                </c:pt>
                <c:pt idx="23">
                  <c:v>43017</c:v>
                </c:pt>
                <c:pt idx="24">
                  <c:v>43018</c:v>
                </c:pt>
                <c:pt idx="25">
                  <c:v>43019</c:v>
                </c:pt>
                <c:pt idx="26">
                  <c:v>43020</c:v>
                </c:pt>
                <c:pt idx="27">
                  <c:v>43021</c:v>
                </c:pt>
                <c:pt idx="28">
                  <c:v>43024</c:v>
                </c:pt>
                <c:pt idx="29">
                  <c:v>43025</c:v>
                </c:pt>
                <c:pt idx="30">
                  <c:v>43026</c:v>
                </c:pt>
                <c:pt idx="31">
                  <c:v>43027</c:v>
                </c:pt>
                <c:pt idx="32">
                  <c:v>43028</c:v>
                </c:pt>
                <c:pt idx="33">
                  <c:v>43029</c:v>
                </c:pt>
                <c:pt idx="34">
                  <c:v>43030</c:v>
                </c:pt>
                <c:pt idx="35">
                  <c:v>43031</c:v>
                </c:pt>
                <c:pt idx="36">
                  <c:v>43032</c:v>
                </c:pt>
                <c:pt idx="37">
                  <c:v>43033</c:v>
                </c:pt>
                <c:pt idx="38">
                  <c:v>43034</c:v>
                </c:pt>
                <c:pt idx="39">
                  <c:v>43035</c:v>
                </c:pt>
                <c:pt idx="40">
                  <c:v>43038</c:v>
                </c:pt>
                <c:pt idx="41">
                  <c:v>43039</c:v>
                </c:pt>
                <c:pt idx="42">
                  <c:v>43040</c:v>
                </c:pt>
                <c:pt idx="43">
                  <c:v>43041</c:v>
                </c:pt>
                <c:pt idx="44">
                  <c:v>43042</c:v>
                </c:pt>
                <c:pt idx="45">
                  <c:v>43045</c:v>
                </c:pt>
                <c:pt idx="46">
                  <c:v>43046</c:v>
                </c:pt>
                <c:pt idx="47">
                  <c:v>43047</c:v>
                </c:pt>
                <c:pt idx="48">
                  <c:v>43048</c:v>
                </c:pt>
                <c:pt idx="49">
                  <c:v>43049</c:v>
                </c:pt>
                <c:pt idx="50">
                  <c:v>43052</c:v>
                </c:pt>
                <c:pt idx="51">
                  <c:v>43053</c:v>
                </c:pt>
                <c:pt idx="52">
                  <c:v>43054</c:v>
                </c:pt>
                <c:pt idx="53">
                  <c:v>43055</c:v>
                </c:pt>
                <c:pt idx="54">
                  <c:v>43056</c:v>
                </c:pt>
                <c:pt idx="55">
                  <c:v>43059</c:v>
                </c:pt>
                <c:pt idx="56">
                  <c:v>43060</c:v>
                </c:pt>
                <c:pt idx="57">
                  <c:v>43061</c:v>
                </c:pt>
                <c:pt idx="58">
                  <c:v>43062</c:v>
                </c:pt>
                <c:pt idx="59">
                  <c:v>43063</c:v>
                </c:pt>
                <c:pt idx="60">
                  <c:v>43066</c:v>
                </c:pt>
                <c:pt idx="61">
                  <c:v>43067</c:v>
                </c:pt>
                <c:pt idx="62">
                  <c:v>43068</c:v>
                </c:pt>
                <c:pt idx="63">
                  <c:v>43069</c:v>
                </c:pt>
                <c:pt idx="64">
                  <c:v>43070</c:v>
                </c:pt>
                <c:pt idx="65">
                  <c:v>43073</c:v>
                </c:pt>
                <c:pt idx="66">
                  <c:v>43074</c:v>
                </c:pt>
                <c:pt idx="67">
                  <c:v>43075</c:v>
                </c:pt>
                <c:pt idx="68">
                  <c:v>43076</c:v>
                </c:pt>
                <c:pt idx="69">
                  <c:v>43077</c:v>
                </c:pt>
                <c:pt idx="70">
                  <c:v>43080</c:v>
                </c:pt>
                <c:pt idx="71">
                  <c:v>43081</c:v>
                </c:pt>
                <c:pt idx="72">
                  <c:v>43082</c:v>
                </c:pt>
                <c:pt idx="73">
                  <c:v>43083</c:v>
                </c:pt>
                <c:pt idx="74">
                  <c:v>43084</c:v>
                </c:pt>
                <c:pt idx="75">
                  <c:v>43087</c:v>
                </c:pt>
                <c:pt idx="76">
                  <c:v>43088</c:v>
                </c:pt>
                <c:pt idx="77">
                  <c:v>43089</c:v>
                </c:pt>
                <c:pt idx="78">
                  <c:v>43090</c:v>
                </c:pt>
                <c:pt idx="79">
                  <c:v>43096</c:v>
                </c:pt>
                <c:pt idx="80">
                  <c:v>43097</c:v>
                </c:pt>
                <c:pt idx="81">
                  <c:v>43098</c:v>
                </c:pt>
                <c:pt idx="82">
                  <c:v>43102</c:v>
                </c:pt>
                <c:pt idx="83">
                  <c:v>43103</c:v>
                </c:pt>
                <c:pt idx="84">
                  <c:v>43104</c:v>
                </c:pt>
                <c:pt idx="85">
                  <c:v>43105</c:v>
                </c:pt>
                <c:pt idx="86">
                  <c:v>43108</c:v>
                </c:pt>
                <c:pt idx="87">
                  <c:v>43109</c:v>
                </c:pt>
                <c:pt idx="88">
                  <c:v>43110</c:v>
                </c:pt>
                <c:pt idx="89">
                  <c:v>43111</c:v>
                </c:pt>
                <c:pt idx="90">
                  <c:v>43112</c:v>
                </c:pt>
                <c:pt idx="91">
                  <c:v>43115</c:v>
                </c:pt>
                <c:pt idx="92">
                  <c:v>43116</c:v>
                </c:pt>
                <c:pt idx="93">
                  <c:v>43117</c:v>
                </c:pt>
                <c:pt idx="94">
                  <c:v>43118</c:v>
                </c:pt>
                <c:pt idx="95">
                  <c:v>43119</c:v>
                </c:pt>
                <c:pt idx="96">
                  <c:v>43122</c:v>
                </c:pt>
                <c:pt idx="97">
                  <c:v>43123</c:v>
                </c:pt>
                <c:pt idx="98">
                  <c:v>43124</c:v>
                </c:pt>
                <c:pt idx="99">
                  <c:v>43125</c:v>
                </c:pt>
                <c:pt idx="100">
                  <c:v>43126</c:v>
                </c:pt>
                <c:pt idx="101">
                  <c:v>43129</c:v>
                </c:pt>
                <c:pt idx="102">
                  <c:v>43130</c:v>
                </c:pt>
                <c:pt idx="103">
                  <c:v>43131</c:v>
                </c:pt>
                <c:pt idx="104">
                  <c:v>43132</c:v>
                </c:pt>
                <c:pt idx="105">
                  <c:v>43133</c:v>
                </c:pt>
                <c:pt idx="106">
                  <c:v>43136</c:v>
                </c:pt>
                <c:pt idx="107">
                  <c:v>43137</c:v>
                </c:pt>
                <c:pt idx="108">
                  <c:v>43138</c:v>
                </c:pt>
                <c:pt idx="109">
                  <c:v>43139</c:v>
                </c:pt>
                <c:pt idx="110">
                  <c:v>43140</c:v>
                </c:pt>
                <c:pt idx="111">
                  <c:v>43143</c:v>
                </c:pt>
                <c:pt idx="112">
                  <c:v>43144</c:v>
                </c:pt>
                <c:pt idx="113">
                  <c:v>43145</c:v>
                </c:pt>
                <c:pt idx="114">
                  <c:v>43146</c:v>
                </c:pt>
                <c:pt idx="115">
                  <c:v>43147</c:v>
                </c:pt>
                <c:pt idx="116">
                  <c:v>43150</c:v>
                </c:pt>
                <c:pt idx="117">
                  <c:v>43151</c:v>
                </c:pt>
                <c:pt idx="118">
                  <c:v>43152</c:v>
                </c:pt>
                <c:pt idx="119">
                  <c:v>43153</c:v>
                </c:pt>
                <c:pt idx="120">
                  <c:v>43154</c:v>
                </c:pt>
                <c:pt idx="121">
                  <c:v>43157</c:v>
                </c:pt>
                <c:pt idx="122">
                  <c:v>43158</c:v>
                </c:pt>
                <c:pt idx="123">
                  <c:v>43159</c:v>
                </c:pt>
                <c:pt idx="124">
                  <c:v>43160</c:v>
                </c:pt>
                <c:pt idx="125">
                  <c:v>43161</c:v>
                </c:pt>
                <c:pt idx="126">
                  <c:v>43164</c:v>
                </c:pt>
                <c:pt idx="127">
                  <c:v>43165</c:v>
                </c:pt>
                <c:pt idx="128">
                  <c:v>43166</c:v>
                </c:pt>
                <c:pt idx="129">
                  <c:v>43167</c:v>
                </c:pt>
                <c:pt idx="130">
                  <c:v>43168</c:v>
                </c:pt>
                <c:pt idx="131">
                  <c:v>43171</c:v>
                </c:pt>
                <c:pt idx="132">
                  <c:v>43172</c:v>
                </c:pt>
                <c:pt idx="133">
                  <c:v>43173</c:v>
                </c:pt>
                <c:pt idx="134">
                  <c:v>43174</c:v>
                </c:pt>
                <c:pt idx="135">
                  <c:v>43175</c:v>
                </c:pt>
                <c:pt idx="136">
                  <c:v>43178</c:v>
                </c:pt>
                <c:pt idx="137">
                  <c:v>43179</c:v>
                </c:pt>
                <c:pt idx="138">
                  <c:v>43180</c:v>
                </c:pt>
                <c:pt idx="139">
                  <c:v>43181</c:v>
                </c:pt>
                <c:pt idx="140">
                  <c:v>43182</c:v>
                </c:pt>
                <c:pt idx="141" formatCode="[$-409]d\-mmm;@">
                  <c:v>43185</c:v>
                </c:pt>
                <c:pt idx="142" formatCode="[$-409]d\-mmm;@">
                  <c:v>43186</c:v>
                </c:pt>
                <c:pt idx="143" formatCode="[$-409]d\-mmm;@">
                  <c:v>43187</c:v>
                </c:pt>
                <c:pt idx="144" formatCode="[$-409]d\-mmm;@">
                  <c:v>43188</c:v>
                </c:pt>
                <c:pt idx="145">
                  <c:v>43193</c:v>
                </c:pt>
                <c:pt idx="146">
                  <c:v>43194</c:v>
                </c:pt>
                <c:pt idx="147">
                  <c:v>43195</c:v>
                </c:pt>
                <c:pt idx="148">
                  <c:v>43196</c:v>
                </c:pt>
                <c:pt idx="149" formatCode="d\-mmm">
                  <c:v>43199</c:v>
                </c:pt>
                <c:pt idx="150" formatCode="d\-mmm">
                  <c:v>43200</c:v>
                </c:pt>
                <c:pt idx="151" formatCode="d\-mmm">
                  <c:v>43201</c:v>
                </c:pt>
                <c:pt idx="152" formatCode="d\-mmm">
                  <c:v>43202</c:v>
                </c:pt>
                <c:pt idx="153" formatCode="d\-mmm">
                  <c:v>43203</c:v>
                </c:pt>
                <c:pt idx="154">
                  <c:v>43206</c:v>
                </c:pt>
                <c:pt idx="155">
                  <c:v>43207</c:v>
                </c:pt>
                <c:pt idx="156">
                  <c:v>43209</c:v>
                </c:pt>
                <c:pt idx="157">
                  <c:v>43210</c:v>
                </c:pt>
                <c:pt idx="158">
                  <c:v>43213</c:v>
                </c:pt>
                <c:pt idx="159">
                  <c:v>43214</c:v>
                </c:pt>
                <c:pt idx="160">
                  <c:v>43215</c:v>
                </c:pt>
                <c:pt idx="161">
                  <c:v>43216</c:v>
                </c:pt>
                <c:pt idx="162">
                  <c:v>43217</c:v>
                </c:pt>
                <c:pt idx="163">
                  <c:v>43220</c:v>
                </c:pt>
                <c:pt idx="164">
                  <c:v>43222</c:v>
                </c:pt>
                <c:pt idx="165">
                  <c:v>43223</c:v>
                </c:pt>
                <c:pt idx="166">
                  <c:v>43224</c:v>
                </c:pt>
                <c:pt idx="167">
                  <c:v>43227</c:v>
                </c:pt>
                <c:pt idx="168">
                  <c:v>43228</c:v>
                </c:pt>
                <c:pt idx="169">
                  <c:v>43229</c:v>
                </c:pt>
                <c:pt idx="170">
                  <c:v>43230</c:v>
                </c:pt>
                <c:pt idx="171">
                  <c:v>43231</c:v>
                </c:pt>
                <c:pt idx="172">
                  <c:v>43234</c:v>
                </c:pt>
                <c:pt idx="173">
                  <c:v>43235</c:v>
                </c:pt>
                <c:pt idx="174">
                  <c:v>43236</c:v>
                </c:pt>
                <c:pt idx="175">
                  <c:v>43237</c:v>
                </c:pt>
                <c:pt idx="176">
                  <c:v>43238</c:v>
                </c:pt>
                <c:pt idx="177">
                  <c:v>43241</c:v>
                </c:pt>
                <c:pt idx="178">
                  <c:v>43242</c:v>
                </c:pt>
                <c:pt idx="179">
                  <c:v>43243</c:v>
                </c:pt>
                <c:pt idx="180">
                  <c:v>43244</c:v>
                </c:pt>
                <c:pt idx="181">
                  <c:v>43245</c:v>
                </c:pt>
                <c:pt idx="182">
                  <c:v>43249</c:v>
                </c:pt>
                <c:pt idx="183">
                  <c:v>43250</c:v>
                </c:pt>
                <c:pt idx="184">
                  <c:v>43251</c:v>
                </c:pt>
                <c:pt idx="185">
                  <c:v>43252</c:v>
                </c:pt>
                <c:pt idx="186">
                  <c:v>43255</c:v>
                </c:pt>
                <c:pt idx="187">
                  <c:v>43256</c:v>
                </c:pt>
                <c:pt idx="188">
                  <c:v>43257</c:v>
                </c:pt>
                <c:pt idx="189">
                  <c:v>43258</c:v>
                </c:pt>
                <c:pt idx="190">
                  <c:v>43259</c:v>
                </c:pt>
                <c:pt idx="191">
                  <c:v>43262</c:v>
                </c:pt>
                <c:pt idx="192">
                  <c:v>43263</c:v>
                </c:pt>
                <c:pt idx="193">
                  <c:v>43264</c:v>
                </c:pt>
                <c:pt idx="194">
                  <c:v>43265</c:v>
                </c:pt>
                <c:pt idx="195">
                  <c:v>43266</c:v>
                </c:pt>
                <c:pt idx="196">
                  <c:v>43269</c:v>
                </c:pt>
                <c:pt idx="197">
                  <c:v>43270</c:v>
                </c:pt>
                <c:pt idx="198">
                  <c:v>43271</c:v>
                </c:pt>
                <c:pt idx="199">
                  <c:v>43272</c:v>
                </c:pt>
                <c:pt idx="200">
                  <c:v>43273</c:v>
                </c:pt>
                <c:pt idx="201">
                  <c:v>43276</c:v>
                </c:pt>
                <c:pt idx="202">
                  <c:v>43277</c:v>
                </c:pt>
                <c:pt idx="203">
                  <c:v>43278</c:v>
                </c:pt>
                <c:pt idx="204">
                  <c:v>43279</c:v>
                </c:pt>
                <c:pt idx="205">
                  <c:v>43280</c:v>
                </c:pt>
                <c:pt idx="206">
                  <c:v>43283</c:v>
                </c:pt>
                <c:pt idx="207">
                  <c:v>43284</c:v>
                </c:pt>
                <c:pt idx="208">
                  <c:v>43285</c:v>
                </c:pt>
                <c:pt idx="209">
                  <c:v>43286</c:v>
                </c:pt>
                <c:pt idx="210">
                  <c:v>43287</c:v>
                </c:pt>
                <c:pt idx="211">
                  <c:v>43290</c:v>
                </c:pt>
                <c:pt idx="212">
                  <c:v>43291</c:v>
                </c:pt>
                <c:pt idx="213">
                  <c:v>43292</c:v>
                </c:pt>
                <c:pt idx="214">
                  <c:v>43293</c:v>
                </c:pt>
                <c:pt idx="215">
                  <c:v>43294</c:v>
                </c:pt>
                <c:pt idx="216">
                  <c:v>43297</c:v>
                </c:pt>
                <c:pt idx="217">
                  <c:v>43298</c:v>
                </c:pt>
                <c:pt idx="218">
                  <c:v>43299</c:v>
                </c:pt>
                <c:pt idx="219">
                  <c:v>43300</c:v>
                </c:pt>
                <c:pt idx="220">
                  <c:v>43301</c:v>
                </c:pt>
                <c:pt idx="221">
                  <c:v>43304</c:v>
                </c:pt>
                <c:pt idx="222">
                  <c:v>43305</c:v>
                </c:pt>
                <c:pt idx="223">
                  <c:v>43306</c:v>
                </c:pt>
                <c:pt idx="224">
                  <c:v>43307</c:v>
                </c:pt>
                <c:pt idx="225">
                  <c:v>43308</c:v>
                </c:pt>
                <c:pt idx="226">
                  <c:v>43311</c:v>
                </c:pt>
                <c:pt idx="227">
                  <c:v>43312</c:v>
                </c:pt>
                <c:pt idx="228">
                  <c:v>43313</c:v>
                </c:pt>
                <c:pt idx="229">
                  <c:v>43314</c:v>
                </c:pt>
                <c:pt idx="230">
                  <c:v>43315</c:v>
                </c:pt>
                <c:pt idx="231">
                  <c:v>43318</c:v>
                </c:pt>
                <c:pt idx="232">
                  <c:v>43319</c:v>
                </c:pt>
                <c:pt idx="233">
                  <c:v>43320</c:v>
                </c:pt>
                <c:pt idx="234">
                  <c:v>43321</c:v>
                </c:pt>
                <c:pt idx="235">
                  <c:v>43322</c:v>
                </c:pt>
                <c:pt idx="236">
                  <c:v>43327</c:v>
                </c:pt>
                <c:pt idx="237">
                  <c:v>43328</c:v>
                </c:pt>
                <c:pt idx="238">
                  <c:v>43329</c:v>
                </c:pt>
                <c:pt idx="239">
                  <c:v>43332</c:v>
                </c:pt>
                <c:pt idx="240">
                  <c:v>43333</c:v>
                </c:pt>
                <c:pt idx="241">
                  <c:v>43334</c:v>
                </c:pt>
                <c:pt idx="242">
                  <c:v>43335</c:v>
                </c:pt>
                <c:pt idx="243">
                  <c:v>43336</c:v>
                </c:pt>
                <c:pt idx="244">
                  <c:v>43339</c:v>
                </c:pt>
                <c:pt idx="245">
                  <c:v>43340</c:v>
                </c:pt>
                <c:pt idx="246">
                  <c:v>43341</c:v>
                </c:pt>
                <c:pt idx="247">
                  <c:v>43342</c:v>
                </c:pt>
                <c:pt idx="248">
                  <c:v>43343</c:v>
                </c:pt>
                <c:pt idx="249">
                  <c:v>43346</c:v>
                </c:pt>
                <c:pt idx="250">
                  <c:v>43347</c:v>
                </c:pt>
                <c:pt idx="251">
                  <c:v>43348</c:v>
                </c:pt>
                <c:pt idx="252">
                  <c:v>43349</c:v>
                </c:pt>
                <c:pt idx="253">
                  <c:v>43350</c:v>
                </c:pt>
                <c:pt idx="254">
                  <c:v>43353</c:v>
                </c:pt>
                <c:pt idx="255">
                  <c:v>43354</c:v>
                </c:pt>
                <c:pt idx="256">
                  <c:v>43355</c:v>
                </c:pt>
                <c:pt idx="257">
                  <c:v>43356</c:v>
                </c:pt>
                <c:pt idx="258">
                  <c:v>43357</c:v>
                </c:pt>
                <c:pt idx="259">
                  <c:v>43360</c:v>
                </c:pt>
                <c:pt idx="260">
                  <c:v>43361</c:v>
                </c:pt>
                <c:pt idx="261">
                  <c:v>43362</c:v>
                </c:pt>
                <c:pt idx="262">
                  <c:v>43363</c:v>
                </c:pt>
                <c:pt idx="263">
                  <c:v>43364</c:v>
                </c:pt>
                <c:pt idx="264">
                  <c:v>43367</c:v>
                </c:pt>
                <c:pt idx="265">
                  <c:v>43368</c:v>
                </c:pt>
                <c:pt idx="266">
                  <c:v>43369</c:v>
                </c:pt>
                <c:pt idx="267">
                  <c:v>43370</c:v>
                </c:pt>
                <c:pt idx="268">
                  <c:v>43371</c:v>
                </c:pt>
                <c:pt idx="269">
                  <c:v>43374</c:v>
                </c:pt>
                <c:pt idx="270">
                  <c:v>43375</c:v>
                </c:pt>
                <c:pt idx="271">
                  <c:v>43376</c:v>
                </c:pt>
                <c:pt idx="272">
                  <c:v>43377</c:v>
                </c:pt>
                <c:pt idx="273">
                  <c:v>43378</c:v>
                </c:pt>
                <c:pt idx="274">
                  <c:v>43381</c:v>
                </c:pt>
                <c:pt idx="275">
                  <c:v>43382</c:v>
                </c:pt>
                <c:pt idx="276">
                  <c:v>43383</c:v>
                </c:pt>
                <c:pt idx="277">
                  <c:v>43384</c:v>
                </c:pt>
                <c:pt idx="278">
                  <c:v>43385</c:v>
                </c:pt>
                <c:pt idx="279">
                  <c:v>43388</c:v>
                </c:pt>
                <c:pt idx="280">
                  <c:v>43389</c:v>
                </c:pt>
                <c:pt idx="281">
                  <c:v>43390</c:v>
                </c:pt>
                <c:pt idx="282">
                  <c:v>43391</c:v>
                </c:pt>
                <c:pt idx="283">
                  <c:v>43392</c:v>
                </c:pt>
                <c:pt idx="284">
                  <c:v>43395</c:v>
                </c:pt>
                <c:pt idx="285">
                  <c:v>43396</c:v>
                </c:pt>
                <c:pt idx="286">
                  <c:v>43397</c:v>
                </c:pt>
                <c:pt idx="287">
                  <c:v>43398</c:v>
                </c:pt>
                <c:pt idx="288">
                  <c:v>43399</c:v>
                </c:pt>
                <c:pt idx="289">
                  <c:v>43402</c:v>
                </c:pt>
                <c:pt idx="290">
                  <c:v>43403</c:v>
                </c:pt>
                <c:pt idx="291">
                  <c:v>43404</c:v>
                </c:pt>
                <c:pt idx="292">
                  <c:v>43405</c:v>
                </c:pt>
                <c:pt idx="293">
                  <c:v>43406</c:v>
                </c:pt>
                <c:pt idx="294">
                  <c:v>43409</c:v>
                </c:pt>
                <c:pt idx="295">
                  <c:v>43410</c:v>
                </c:pt>
                <c:pt idx="296">
                  <c:v>43411</c:v>
                </c:pt>
                <c:pt idx="297">
                  <c:v>43412</c:v>
                </c:pt>
                <c:pt idx="298">
                  <c:v>43413</c:v>
                </c:pt>
                <c:pt idx="299">
                  <c:v>43416</c:v>
                </c:pt>
                <c:pt idx="300">
                  <c:v>43417</c:v>
                </c:pt>
                <c:pt idx="301">
                  <c:v>43418</c:v>
                </c:pt>
                <c:pt idx="302">
                  <c:v>43419</c:v>
                </c:pt>
                <c:pt idx="303">
                  <c:v>43420</c:v>
                </c:pt>
                <c:pt idx="304">
                  <c:v>43423</c:v>
                </c:pt>
                <c:pt idx="305">
                  <c:v>43424</c:v>
                </c:pt>
                <c:pt idx="306">
                  <c:v>43425</c:v>
                </c:pt>
                <c:pt idx="307">
                  <c:v>43426</c:v>
                </c:pt>
                <c:pt idx="308">
                  <c:v>43427</c:v>
                </c:pt>
                <c:pt idx="309">
                  <c:v>43428</c:v>
                </c:pt>
                <c:pt idx="310">
                  <c:v>43429</c:v>
                </c:pt>
                <c:pt idx="311">
                  <c:v>43430</c:v>
                </c:pt>
                <c:pt idx="312">
                  <c:v>43431</c:v>
                </c:pt>
                <c:pt idx="313">
                  <c:v>43432</c:v>
                </c:pt>
                <c:pt idx="314">
                  <c:v>43433</c:v>
                </c:pt>
                <c:pt idx="315">
                  <c:v>43434</c:v>
                </c:pt>
                <c:pt idx="316">
                  <c:v>43435</c:v>
                </c:pt>
                <c:pt idx="317">
                  <c:v>43436</c:v>
                </c:pt>
                <c:pt idx="318">
                  <c:v>43437</c:v>
                </c:pt>
                <c:pt idx="319">
                  <c:v>43438</c:v>
                </c:pt>
                <c:pt idx="320">
                  <c:v>43439</c:v>
                </c:pt>
                <c:pt idx="321">
                  <c:v>43440</c:v>
                </c:pt>
                <c:pt idx="322">
                  <c:v>43441</c:v>
                </c:pt>
                <c:pt idx="323">
                  <c:v>43442</c:v>
                </c:pt>
                <c:pt idx="324">
                  <c:v>43443</c:v>
                </c:pt>
                <c:pt idx="325">
                  <c:v>43444</c:v>
                </c:pt>
                <c:pt idx="326">
                  <c:v>43445</c:v>
                </c:pt>
                <c:pt idx="327">
                  <c:v>43446</c:v>
                </c:pt>
                <c:pt idx="328">
                  <c:v>43447</c:v>
                </c:pt>
                <c:pt idx="329">
                  <c:v>43448</c:v>
                </c:pt>
                <c:pt idx="330">
                  <c:v>43449</c:v>
                </c:pt>
                <c:pt idx="331">
                  <c:v>43450</c:v>
                </c:pt>
                <c:pt idx="332">
                  <c:v>43451</c:v>
                </c:pt>
                <c:pt idx="333">
                  <c:v>43452</c:v>
                </c:pt>
                <c:pt idx="334">
                  <c:v>43453</c:v>
                </c:pt>
                <c:pt idx="335">
                  <c:v>43454</c:v>
                </c:pt>
                <c:pt idx="336">
                  <c:v>43455</c:v>
                </c:pt>
                <c:pt idx="337">
                  <c:v>43456</c:v>
                </c:pt>
                <c:pt idx="338">
                  <c:v>43457</c:v>
                </c:pt>
                <c:pt idx="339">
                  <c:v>43458</c:v>
                </c:pt>
                <c:pt idx="340">
                  <c:v>43459</c:v>
                </c:pt>
                <c:pt idx="341">
                  <c:v>43460</c:v>
                </c:pt>
                <c:pt idx="342">
                  <c:v>43461</c:v>
                </c:pt>
                <c:pt idx="343">
                  <c:v>43462</c:v>
                </c:pt>
                <c:pt idx="344">
                  <c:v>43463</c:v>
                </c:pt>
                <c:pt idx="345">
                  <c:v>43464</c:v>
                </c:pt>
                <c:pt idx="346">
                  <c:v>43465</c:v>
                </c:pt>
                <c:pt idx="347">
                  <c:v>43467</c:v>
                </c:pt>
                <c:pt idx="348">
                  <c:v>43468</c:v>
                </c:pt>
                <c:pt idx="349">
                  <c:v>43469</c:v>
                </c:pt>
                <c:pt idx="350">
                  <c:v>43472</c:v>
                </c:pt>
                <c:pt idx="351">
                  <c:v>43473</c:v>
                </c:pt>
                <c:pt idx="352">
                  <c:v>43474</c:v>
                </c:pt>
                <c:pt idx="353">
                  <c:v>43475</c:v>
                </c:pt>
                <c:pt idx="354">
                  <c:v>43476</c:v>
                </c:pt>
                <c:pt idx="355">
                  <c:v>43477</c:v>
                </c:pt>
                <c:pt idx="356">
                  <c:v>43479</c:v>
                </c:pt>
                <c:pt idx="357">
                  <c:v>43480</c:v>
                </c:pt>
                <c:pt idx="358">
                  <c:v>43481</c:v>
                </c:pt>
                <c:pt idx="359">
                  <c:v>43482</c:v>
                </c:pt>
                <c:pt idx="360">
                  <c:v>43483</c:v>
                </c:pt>
                <c:pt idx="361">
                  <c:v>43484</c:v>
                </c:pt>
                <c:pt idx="362">
                  <c:v>43485</c:v>
                </c:pt>
                <c:pt idx="363">
                  <c:v>43486</c:v>
                </c:pt>
                <c:pt idx="364">
                  <c:v>43487</c:v>
                </c:pt>
                <c:pt idx="365">
                  <c:v>43488</c:v>
                </c:pt>
                <c:pt idx="366">
                  <c:v>43489</c:v>
                </c:pt>
                <c:pt idx="367">
                  <c:v>43490</c:v>
                </c:pt>
                <c:pt idx="368">
                  <c:v>43491</c:v>
                </c:pt>
                <c:pt idx="369">
                  <c:v>43492</c:v>
                </c:pt>
                <c:pt idx="370">
                  <c:v>43493</c:v>
                </c:pt>
                <c:pt idx="371">
                  <c:v>43494</c:v>
                </c:pt>
                <c:pt idx="372">
                  <c:v>43495</c:v>
                </c:pt>
                <c:pt idx="373">
                  <c:v>43496</c:v>
                </c:pt>
                <c:pt idx="374">
                  <c:v>43497</c:v>
                </c:pt>
                <c:pt idx="375">
                  <c:v>43500</c:v>
                </c:pt>
                <c:pt idx="376">
                  <c:v>43501</c:v>
                </c:pt>
                <c:pt idx="377">
                  <c:v>43502</c:v>
                </c:pt>
                <c:pt idx="378">
                  <c:v>43503</c:v>
                </c:pt>
                <c:pt idx="379">
                  <c:v>43504</c:v>
                </c:pt>
                <c:pt idx="380">
                  <c:v>43507</c:v>
                </c:pt>
                <c:pt idx="381">
                  <c:v>43508</c:v>
                </c:pt>
                <c:pt idx="382">
                  <c:v>43509</c:v>
                </c:pt>
                <c:pt idx="383">
                  <c:v>43510</c:v>
                </c:pt>
                <c:pt idx="384">
                  <c:v>43511</c:v>
                </c:pt>
                <c:pt idx="385">
                  <c:v>43514</c:v>
                </c:pt>
                <c:pt idx="386">
                  <c:v>43515</c:v>
                </c:pt>
                <c:pt idx="387">
                  <c:v>43516</c:v>
                </c:pt>
                <c:pt idx="388">
                  <c:v>43518</c:v>
                </c:pt>
                <c:pt idx="389">
                  <c:v>43519</c:v>
                </c:pt>
                <c:pt idx="390">
                  <c:v>43520</c:v>
                </c:pt>
                <c:pt idx="391">
                  <c:v>43521</c:v>
                </c:pt>
                <c:pt idx="392">
                  <c:v>43522</c:v>
                </c:pt>
                <c:pt idx="393">
                  <c:v>43523</c:v>
                </c:pt>
                <c:pt idx="394">
                  <c:v>43524</c:v>
                </c:pt>
                <c:pt idx="395">
                  <c:v>43525</c:v>
                </c:pt>
                <c:pt idx="396">
                  <c:v>43526</c:v>
                </c:pt>
                <c:pt idx="397">
                  <c:v>43527</c:v>
                </c:pt>
                <c:pt idx="398">
                  <c:v>43528</c:v>
                </c:pt>
                <c:pt idx="399">
                  <c:v>43529</c:v>
                </c:pt>
                <c:pt idx="400">
                  <c:v>43530</c:v>
                </c:pt>
                <c:pt idx="401">
                  <c:v>43531</c:v>
                </c:pt>
                <c:pt idx="402">
                  <c:v>43532</c:v>
                </c:pt>
                <c:pt idx="403">
                  <c:v>43533</c:v>
                </c:pt>
                <c:pt idx="404">
                  <c:v>43534</c:v>
                </c:pt>
                <c:pt idx="405">
                  <c:v>43535</c:v>
                </c:pt>
                <c:pt idx="406">
                  <c:v>43536</c:v>
                </c:pt>
                <c:pt idx="407">
                  <c:v>43537</c:v>
                </c:pt>
                <c:pt idx="408">
                  <c:v>43538</c:v>
                </c:pt>
                <c:pt idx="409">
                  <c:v>43539</c:v>
                </c:pt>
                <c:pt idx="410">
                  <c:v>43540</c:v>
                </c:pt>
                <c:pt idx="411">
                  <c:v>43541</c:v>
                </c:pt>
                <c:pt idx="412">
                  <c:v>43542</c:v>
                </c:pt>
                <c:pt idx="413">
                  <c:v>43543</c:v>
                </c:pt>
                <c:pt idx="414">
                  <c:v>43544</c:v>
                </c:pt>
                <c:pt idx="415">
                  <c:v>43545</c:v>
                </c:pt>
                <c:pt idx="416">
                  <c:v>43546</c:v>
                </c:pt>
                <c:pt idx="417">
                  <c:v>43547</c:v>
                </c:pt>
                <c:pt idx="418">
                  <c:v>43548</c:v>
                </c:pt>
                <c:pt idx="419">
                  <c:v>43549</c:v>
                </c:pt>
                <c:pt idx="420">
                  <c:v>43550</c:v>
                </c:pt>
                <c:pt idx="421">
                  <c:v>43551</c:v>
                </c:pt>
                <c:pt idx="422">
                  <c:v>43552</c:v>
                </c:pt>
                <c:pt idx="423">
                  <c:v>43553</c:v>
                </c:pt>
                <c:pt idx="424">
                  <c:v>43554</c:v>
                </c:pt>
                <c:pt idx="425">
                  <c:v>43555</c:v>
                </c:pt>
              </c:numCache>
            </c:numRef>
          </c:cat>
          <c:val>
            <c:numRef>
              <c:f>Sheet1!$D$4:$D$429</c:f>
              <c:numCache>
                <c:formatCode>General</c:formatCode>
                <c:ptCount val="426"/>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pt idx="180">
                  <c:v>1</c:v>
                </c:pt>
                <c:pt idx="181">
                  <c:v>1</c:v>
                </c:pt>
                <c:pt idx="182">
                  <c:v>1</c:v>
                </c:pt>
                <c:pt idx="183">
                  <c:v>1</c:v>
                </c:pt>
                <c:pt idx="184">
                  <c:v>1</c:v>
                </c:pt>
                <c:pt idx="185">
                  <c:v>1</c:v>
                </c:pt>
                <c:pt idx="186">
                  <c:v>1</c:v>
                </c:pt>
                <c:pt idx="187">
                  <c:v>1</c:v>
                </c:pt>
                <c:pt idx="188">
                  <c:v>1</c:v>
                </c:pt>
                <c:pt idx="189">
                  <c:v>1</c:v>
                </c:pt>
                <c:pt idx="190">
                  <c:v>1</c:v>
                </c:pt>
                <c:pt idx="191">
                  <c:v>1</c:v>
                </c:pt>
                <c:pt idx="192">
                  <c:v>1</c:v>
                </c:pt>
                <c:pt idx="193">
                  <c:v>1</c:v>
                </c:pt>
                <c:pt idx="194">
                  <c:v>1</c:v>
                </c:pt>
                <c:pt idx="195">
                  <c:v>1</c:v>
                </c:pt>
                <c:pt idx="196">
                  <c:v>1</c:v>
                </c:pt>
                <c:pt idx="197">
                  <c:v>1</c:v>
                </c:pt>
                <c:pt idx="198">
                  <c:v>1</c:v>
                </c:pt>
                <c:pt idx="199">
                  <c:v>1</c:v>
                </c:pt>
                <c:pt idx="200">
                  <c:v>1</c:v>
                </c:pt>
                <c:pt idx="201">
                  <c:v>1</c:v>
                </c:pt>
                <c:pt idx="202">
                  <c:v>1</c:v>
                </c:pt>
                <c:pt idx="203">
                  <c:v>1</c:v>
                </c:pt>
                <c:pt idx="204">
                  <c:v>1</c:v>
                </c:pt>
                <c:pt idx="205">
                  <c:v>1</c:v>
                </c:pt>
                <c:pt idx="206">
                  <c:v>1</c:v>
                </c:pt>
                <c:pt idx="207">
                  <c:v>1</c:v>
                </c:pt>
                <c:pt idx="208">
                  <c:v>1</c:v>
                </c:pt>
                <c:pt idx="209">
                  <c:v>1</c:v>
                </c:pt>
                <c:pt idx="210">
                  <c:v>1</c:v>
                </c:pt>
                <c:pt idx="211">
                  <c:v>1</c:v>
                </c:pt>
                <c:pt idx="212">
                  <c:v>1</c:v>
                </c:pt>
                <c:pt idx="213">
                  <c:v>1</c:v>
                </c:pt>
                <c:pt idx="214">
                  <c:v>1</c:v>
                </c:pt>
                <c:pt idx="215">
                  <c:v>1</c:v>
                </c:pt>
                <c:pt idx="216">
                  <c:v>1</c:v>
                </c:pt>
                <c:pt idx="217">
                  <c:v>1</c:v>
                </c:pt>
                <c:pt idx="218">
                  <c:v>1</c:v>
                </c:pt>
                <c:pt idx="219">
                  <c:v>1</c:v>
                </c:pt>
                <c:pt idx="220">
                  <c:v>1</c:v>
                </c:pt>
                <c:pt idx="221">
                  <c:v>1</c:v>
                </c:pt>
                <c:pt idx="222">
                  <c:v>1</c:v>
                </c:pt>
                <c:pt idx="223">
                  <c:v>1</c:v>
                </c:pt>
                <c:pt idx="224">
                  <c:v>1</c:v>
                </c:pt>
                <c:pt idx="225">
                  <c:v>1</c:v>
                </c:pt>
                <c:pt idx="226">
                  <c:v>1</c:v>
                </c:pt>
                <c:pt idx="227">
                  <c:v>1</c:v>
                </c:pt>
                <c:pt idx="228">
                  <c:v>1</c:v>
                </c:pt>
                <c:pt idx="229">
                  <c:v>1</c:v>
                </c:pt>
                <c:pt idx="230">
                  <c:v>1</c:v>
                </c:pt>
                <c:pt idx="231">
                  <c:v>1</c:v>
                </c:pt>
                <c:pt idx="232">
                  <c:v>1</c:v>
                </c:pt>
                <c:pt idx="233">
                  <c:v>1</c:v>
                </c:pt>
                <c:pt idx="234">
                  <c:v>1</c:v>
                </c:pt>
                <c:pt idx="235">
                  <c:v>1</c:v>
                </c:pt>
                <c:pt idx="236">
                  <c:v>1</c:v>
                </c:pt>
                <c:pt idx="237">
                  <c:v>1</c:v>
                </c:pt>
                <c:pt idx="238">
                  <c:v>1</c:v>
                </c:pt>
                <c:pt idx="239">
                  <c:v>1</c:v>
                </c:pt>
                <c:pt idx="240">
                  <c:v>1</c:v>
                </c:pt>
                <c:pt idx="241">
                  <c:v>1</c:v>
                </c:pt>
                <c:pt idx="242">
                  <c:v>1</c:v>
                </c:pt>
                <c:pt idx="243">
                  <c:v>1</c:v>
                </c:pt>
                <c:pt idx="244">
                  <c:v>1</c:v>
                </c:pt>
                <c:pt idx="245">
                  <c:v>1</c:v>
                </c:pt>
                <c:pt idx="246">
                  <c:v>1</c:v>
                </c:pt>
                <c:pt idx="247">
                  <c:v>1</c:v>
                </c:pt>
                <c:pt idx="248">
                  <c:v>1</c:v>
                </c:pt>
                <c:pt idx="249">
                  <c:v>1</c:v>
                </c:pt>
                <c:pt idx="250">
                  <c:v>1</c:v>
                </c:pt>
                <c:pt idx="251">
                  <c:v>1</c:v>
                </c:pt>
                <c:pt idx="252">
                  <c:v>1</c:v>
                </c:pt>
                <c:pt idx="253">
                  <c:v>1</c:v>
                </c:pt>
                <c:pt idx="254">
                  <c:v>1</c:v>
                </c:pt>
                <c:pt idx="255">
                  <c:v>1</c:v>
                </c:pt>
                <c:pt idx="256">
                  <c:v>1</c:v>
                </c:pt>
                <c:pt idx="257">
                  <c:v>1</c:v>
                </c:pt>
                <c:pt idx="258">
                  <c:v>1</c:v>
                </c:pt>
                <c:pt idx="259">
                  <c:v>1</c:v>
                </c:pt>
                <c:pt idx="260">
                  <c:v>1</c:v>
                </c:pt>
                <c:pt idx="261">
                  <c:v>1</c:v>
                </c:pt>
                <c:pt idx="262">
                  <c:v>1</c:v>
                </c:pt>
                <c:pt idx="263">
                  <c:v>1</c:v>
                </c:pt>
                <c:pt idx="264">
                  <c:v>1</c:v>
                </c:pt>
                <c:pt idx="265">
                  <c:v>1</c:v>
                </c:pt>
                <c:pt idx="266">
                  <c:v>1</c:v>
                </c:pt>
                <c:pt idx="267">
                  <c:v>1</c:v>
                </c:pt>
                <c:pt idx="268">
                  <c:v>1</c:v>
                </c:pt>
                <c:pt idx="269">
                  <c:v>1</c:v>
                </c:pt>
                <c:pt idx="270">
                  <c:v>1</c:v>
                </c:pt>
                <c:pt idx="271">
                  <c:v>1</c:v>
                </c:pt>
                <c:pt idx="272">
                  <c:v>1</c:v>
                </c:pt>
                <c:pt idx="273">
                  <c:v>1</c:v>
                </c:pt>
                <c:pt idx="274">
                  <c:v>1</c:v>
                </c:pt>
                <c:pt idx="275">
                  <c:v>1</c:v>
                </c:pt>
                <c:pt idx="276">
                  <c:v>1</c:v>
                </c:pt>
                <c:pt idx="277">
                  <c:v>1</c:v>
                </c:pt>
                <c:pt idx="278">
                  <c:v>1</c:v>
                </c:pt>
                <c:pt idx="279">
                  <c:v>1</c:v>
                </c:pt>
                <c:pt idx="280">
                  <c:v>1</c:v>
                </c:pt>
                <c:pt idx="281">
                  <c:v>1</c:v>
                </c:pt>
                <c:pt idx="282">
                  <c:v>1</c:v>
                </c:pt>
                <c:pt idx="283">
                  <c:v>1</c:v>
                </c:pt>
                <c:pt idx="284">
                  <c:v>1</c:v>
                </c:pt>
                <c:pt idx="285">
                  <c:v>1</c:v>
                </c:pt>
                <c:pt idx="286">
                  <c:v>1</c:v>
                </c:pt>
                <c:pt idx="287">
                  <c:v>1</c:v>
                </c:pt>
                <c:pt idx="288">
                  <c:v>1</c:v>
                </c:pt>
                <c:pt idx="289">
                  <c:v>1</c:v>
                </c:pt>
                <c:pt idx="290">
                  <c:v>1</c:v>
                </c:pt>
                <c:pt idx="291">
                  <c:v>1</c:v>
                </c:pt>
                <c:pt idx="292">
                  <c:v>1</c:v>
                </c:pt>
                <c:pt idx="293">
                  <c:v>1</c:v>
                </c:pt>
                <c:pt idx="294">
                  <c:v>1</c:v>
                </c:pt>
                <c:pt idx="295">
                  <c:v>1</c:v>
                </c:pt>
                <c:pt idx="296">
                  <c:v>1</c:v>
                </c:pt>
                <c:pt idx="297">
                  <c:v>1</c:v>
                </c:pt>
                <c:pt idx="298">
                  <c:v>1</c:v>
                </c:pt>
                <c:pt idx="299">
                  <c:v>1</c:v>
                </c:pt>
                <c:pt idx="300">
                  <c:v>1</c:v>
                </c:pt>
                <c:pt idx="301">
                  <c:v>1</c:v>
                </c:pt>
                <c:pt idx="302">
                  <c:v>1</c:v>
                </c:pt>
                <c:pt idx="303">
                  <c:v>1</c:v>
                </c:pt>
                <c:pt idx="304">
                  <c:v>1</c:v>
                </c:pt>
                <c:pt idx="305">
                  <c:v>1</c:v>
                </c:pt>
                <c:pt idx="306">
                  <c:v>1</c:v>
                </c:pt>
                <c:pt idx="307">
                  <c:v>1</c:v>
                </c:pt>
                <c:pt idx="308">
                  <c:v>1</c:v>
                </c:pt>
                <c:pt idx="309">
                  <c:v>1</c:v>
                </c:pt>
                <c:pt idx="310">
                  <c:v>1</c:v>
                </c:pt>
                <c:pt idx="311">
                  <c:v>1</c:v>
                </c:pt>
                <c:pt idx="312">
                  <c:v>1</c:v>
                </c:pt>
                <c:pt idx="313">
                  <c:v>1</c:v>
                </c:pt>
                <c:pt idx="314">
                  <c:v>1</c:v>
                </c:pt>
                <c:pt idx="315">
                  <c:v>1</c:v>
                </c:pt>
                <c:pt idx="316">
                  <c:v>1</c:v>
                </c:pt>
                <c:pt idx="317">
                  <c:v>1</c:v>
                </c:pt>
                <c:pt idx="318">
                  <c:v>1</c:v>
                </c:pt>
                <c:pt idx="319">
                  <c:v>1</c:v>
                </c:pt>
                <c:pt idx="320">
                  <c:v>1</c:v>
                </c:pt>
                <c:pt idx="321">
                  <c:v>1</c:v>
                </c:pt>
                <c:pt idx="322">
                  <c:v>1</c:v>
                </c:pt>
                <c:pt idx="323">
                  <c:v>1</c:v>
                </c:pt>
                <c:pt idx="324">
                  <c:v>1</c:v>
                </c:pt>
                <c:pt idx="325">
                  <c:v>1</c:v>
                </c:pt>
                <c:pt idx="326">
                  <c:v>1</c:v>
                </c:pt>
                <c:pt idx="327">
                  <c:v>1</c:v>
                </c:pt>
                <c:pt idx="328">
                  <c:v>1</c:v>
                </c:pt>
                <c:pt idx="329">
                  <c:v>1</c:v>
                </c:pt>
                <c:pt idx="330">
                  <c:v>1</c:v>
                </c:pt>
                <c:pt idx="331">
                  <c:v>1</c:v>
                </c:pt>
                <c:pt idx="332">
                  <c:v>1</c:v>
                </c:pt>
                <c:pt idx="333">
                  <c:v>1</c:v>
                </c:pt>
                <c:pt idx="334">
                  <c:v>1</c:v>
                </c:pt>
                <c:pt idx="335">
                  <c:v>1</c:v>
                </c:pt>
                <c:pt idx="336">
                  <c:v>1</c:v>
                </c:pt>
                <c:pt idx="337">
                  <c:v>1</c:v>
                </c:pt>
                <c:pt idx="338">
                  <c:v>1</c:v>
                </c:pt>
                <c:pt idx="339">
                  <c:v>1</c:v>
                </c:pt>
                <c:pt idx="340">
                  <c:v>1</c:v>
                </c:pt>
                <c:pt idx="341">
                  <c:v>1</c:v>
                </c:pt>
                <c:pt idx="342">
                  <c:v>1</c:v>
                </c:pt>
                <c:pt idx="343">
                  <c:v>1</c:v>
                </c:pt>
                <c:pt idx="344">
                  <c:v>1</c:v>
                </c:pt>
                <c:pt idx="345">
                  <c:v>1</c:v>
                </c:pt>
                <c:pt idx="346">
                  <c:v>1</c:v>
                </c:pt>
                <c:pt idx="347">
                  <c:v>1</c:v>
                </c:pt>
                <c:pt idx="348">
                  <c:v>1</c:v>
                </c:pt>
                <c:pt idx="349">
                  <c:v>1</c:v>
                </c:pt>
                <c:pt idx="350">
                  <c:v>1</c:v>
                </c:pt>
                <c:pt idx="351">
                  <c:v>1</c:v>
                </c:pt>
                <c:pt idx="352">
                  <c:v>1</c:v>
                </c:pt>
                <c:pt idx="353">
                  <c:v>1</c:v>
                </c:pt>
                <c:pt idx="354">
                  <c:v>1</c:v>
                </c:pt>
                <c:pt idx="355">
                  <c:v>1</c:v>
                </c:pt>
                <c:pt idx="356">
                  <c:v>1</c:v>
                </c:pt>
                <c:pt idx="357">
                  <c:v>1</c:v>
                </c:pt>
                <c:pt idx="358">
                  <c:v>1</c:v>
                </c:pt>
                <c:pt idx="359">
                  <c:v>1</c:v>
                </c:pt>
                <c:pt idx="360">
                  <c:v>1</c:v>
                </c:pt>
                <c:pt idx="361">
                  <c:v>1</c:v>
                </c:pt>
                <c:pt idx="362">
                  <c:v>1</c:v>
                </c:pt>
                <c:pt idx="363">
                  <c:v>1</c:v>
                </c:pt>
                <c:pt idx="364">
                  <c:v>1</c:v>
                </c:pt>
                <c:pt idx="365">
                  <c:v>1</c:v>
                </c:pt>
                <c:pt idx="366">
                  <c:v>1</c:v>
                </c:pt>
                <c:pt idx="367">
                  <c:v>1</c:v>
                </c:pt>
                <c:pt idx="368">
                  <c:v>1</c:v>
                </c:pt>
                <c:pt idx="369">
                  <c:v>1</c:v>
                </c:pt>
                <c:pt idx="370">
                  <c:v>1</c:v>
                </c:pt>
                <c:pt idx="371">
                  <c:v>1</c:v>
                </c:pt>
                <c:pt idx="372">
                  <c:v>1</c:v>
                </c:pt>
                <c:pt idx="373">
                  <c:v>1</c:v>
                </c:pt>
                <c:pt idx="374">
                  <c:v>1</c:v>
                </c:pt>
                <c:pt idx="375">
                  <c:v>1</c:v>
                </c:pt>
                <c:pt idx="376">
                  <c:v>1</c:v>
                </c:pt>
                <c:pt idx="377">
                  <c:v>1</c:v>
                </c:pt>
                <c:pt idx="378">
                  <c:v>1</c:v>
                </c:pt>
                <c:pt idx="379">
                  <c:v>1</c:v>
                </c:pt>
                <c:pt idx="380">
                  <c:v>1</c:v>
                </c:pt>
                <c:pt idx="381">
                  <c:v>1</c:v>
                </c:pt>
                <c:pt idx="382">
                  <c:v>1</c:v>
                </c:pt>
                <c:pt idx="383">
                  <c:v>1</c:v>
                </c:pt>
                <c:pt idx="384">
                  <c:v>1</c:v>
                </c:pt>
                <c:pt idx="385">
                  <c:v>1</c:v>
                </c:pt>
                <c:pt idx="386">
                  <c:v>1</c:v>
                </c:pt>
                <c:pt idx="387">
                  <c:v>1</c:v>
                </c:pt>
                <c:pt idx="388">
                  <c:v>1</c:v>
                </c:pt>
                <c:pt idx="389">
                  <c:v>1</c:v>
                </c:pt>
                <c:pt idx="390">
                  <c:v>1</c:v>
                </c:pt>
                <c:pt idx="391">
                  <c:v>2.5</c:v>
                </c:pt>
                <c:pt idx="392">
                  <c:v>2.5</c:v>
                </c:pt>
                <c:pt idx="393">
                  <c:v>2.5</c:v>
                </c:pt>
                <c:pt idx="394">
                  <c:v>2.5</c:v>
                </c:pt>
                <c:pt idx="395">
                  <c:v>2.5</c:v>
                </c:pt>
                <c:pt idx="396">
                  <c:v>2.5</c:v>
                </c:pt>
                <c:pt idx="397">
                  <c:v>2.5</c:v>
                </c:pt>
                <c:pt idx="398">
                  <c:v>2.5</c:v>
                </c:pt>
                <c:pt idx="399">
                  <c:v>2.5</c:v>
                </c:pt>
                <c:pt idx="400">
                  <c:v>2.5</c:v>
                </c:pt>
                <c:pt idx="401">
                  <c:v>2.5</c:v>
                </c:pt>
                <c:pt idx="402">
                  <c:v>2.5099999999999998</c:v>
                </c:pt>
                <c:pt idx="403">
                  <c:v>2.5099999999999998</c:v>
                </c:pt>
                <c:pt idx="404">
                  <c:v>2.5099999999999998</c:v>
                </c:pt>
                <c:pt idx="405">
                  <c:v>2.54</c:v>
                </c:pt>
                <c:pt idx="406">
                  <c:v>2.54</c:v>
                </c:pt>
                <c:pt idx="407">
                  <c:v>2.6</c:v>
                </c:pt>
                <c:pt idx="408">
                  <c:v>2.71</c:v>
                </c:pt>
                <c:pt idx="409">
                  <c:v>2.71</c:v>
                </c:pt>
                <c:pt idx="410">
                  <c:v>2.71</c:v>
                </c:pt>
                <c:pt idx="411">
                  <c:v>2.71</c:v>
                </c:pt>
                <c:pt idx="412">
                  <c:v>2.75</c:v>
                </c:pt>
                <c:pt idx="413">
                  <c:v>2.77</c:v>
                </c:pt>
                <c:pt idx="414">
                  <c:v>2.77</c:v>
                </c:pt>
                <c:pt idx="415">
                  <c:v>2.85</c:v>
                </c:pt>
                <c:pt idx="416">
                  <c:v>2.93</c:v>
                </c:pt>
                <c:pt idx="417">
                  <c:v>2.93</c:v>
                </c:pt>
                <c:pt idx="418">
                  <c:v>2.93</c:v>
                </c:pt>
                <c:pt idx="419">
                  <c:v>2.95</c:v>
                </c:pt>
                <c:pt idx="420">
                  <c:v>2.95</c:v>
                </c:pt>
                <c:pt idx="421">
                  <c:v>2.96</c:v>
                </c:pt>
                <c:pt idx="422">
                  <c:v>2.98</c:v>
                </c:pt>
                <c:pt idx="423">
                  <c:v>3.01</c:v>
                </c:pt>
                <c:pt idx="424">
                  <c:v>3.01</c:v>
                </c:pt>
                <c:pt idx="425">
                  <c:v>3.01</c:v>
                </c:pt>
              </c:numCache>
            </c:numRef>
          </c:val>
          <c:smooth val="0"/>
          <c:extLst>
            <c:ext xmlns:c16="http://schemas.microsoft.com/office/drawing/2014/chart" uri="{C3380CC4-5D6E-409C-BE32-E72D297353CC}">
              <c16:uniqueId val="{00000001-60FF-4A57-A3C0-F86E7A836586}"/>
            </c:ext>
          </c:extLst>
        </c:ser>
        <c:dLbls>
          <c:showLegendKey val="0"/>
          <c:showVal val="0"/>
          <c:showCatName val="0"/>
          <c:showSerName val="0"/>
          <c:showPercent val="0"/>
          <c:showBubbleSize val="0"/>
        </c:dLbls>
        <c:smooth val="0"/>
        <c:axId val="-69093072"/>
        <c:axId val="-69092528"/>
      </c:lineChart>
      <c:dateAx>
        <c:axId val="-69093072"/>
        <c:scaling>
          <c:orientation val="minMax"/>
        </c:scaling>
        <c:delete val="0"/>
        <c:axPos val="b"/>
        <c:numFmt formatCode="[$-3009]dd\-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092528"/>
        <c:crosses val="autoZero"/>
        <c:auto val="1"/>
        <c:lblOffset val="100"/>
        <c:baseTimeUnit val="days"/>
      </c:dateAx>
      <c:valAx>
        <c:axId val="-6909252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093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ZW"/>
              <a:t>ZSE Indicies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5498776463054788E-2"/>
          <c:y val="0.1413425925925926"/>
          <c:w val="0.89063358250558289"/>
          <c:h val="0.56873541848935549"/>
        </c:manualLayout>
      </c:layout>
      <c:lineChart>
        <c:grouping val="stacked"/>
        <c:varyColors val="0"/>
        <c:ser>
          <c:idx val="0"/>
          <c:order val="0"/>
          <c:tx>
            <c:strRef>
              <c:f>Sheet1!$B$1</c:f>
              <c:strCache>
                <c:ptCount val="1"/>
                <c:pt idx="0">
                  <c:v>Industrial Index</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numRef>
              <c:f>Sheet1!$A$2:$A$16</c:f>
              <c:numCache>
                <c:formatCode>mmm\-yy</c:formatCode>
                <c:ptCount val="15"/>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numCache>
            </c:numRef>
          </c:cat>
          <c:val>
            <c:numRef>
              <c:f>Sheet1!$B$2:$B$16</c:f>
              <c:numCache>
                <c:formatCode>_-* #,##0_-;\-* #,##0_-;_-* "-"??_-;_-@_-</c:formatCode>
                <c:ptCount val="15"/>
                <c:pt idx="0">
                  <c:v>305.35000000000002</c:v>
                </c:pt>
                <c:pt idx="1">
                  <c:v>294.55</c:v>
                </c:pt>
                <c:pt idx="2">
                  <c:v>291</c:v>
                </c:pt>
                <c:pt idx="3">
                  <c:v>330.66</c:v>
                </c:pt>
                <c:pt idx="4">
                  <c:v>361.53</c:v>
                </c:pt>
                <c:pt idx="5">
                  <c:v>342.79</c:v>
                </c:pt>
                <c:pt idx="6">
                  <c:v>384.25</c:v>
                </c:pt>
                <c:pt idx="7">
                  <c:v>394.64</c:v>
                </c:pt>
                <c:pt idx="8">
                  <c:v>386.97</c:v>
                </c:pt>
                <c:pt idx="9">
                  <c:v>549.80999999999995</c:v>
                </c:pt>
                <c:pt idx="10">
                  <c:v>538.66</c:v>
                </c:pt>
                <c:pt idx="11">
                  <c:v>487.13</c:v>
                </c:pt>
                <c:pt idx="12">
                  <c:v>525.9</c:v>
                </c:pt>
                <c:pt idx="13">
                  <c:v>494.31</c:v>
                </c:pt>
                <c:pt idx="14">
                  <c:v>405.57</c:v>
                </c:pt>
              </c:numCache>
            </c:numRef>
          </c:val>
          <c:smooth val="0"/>
          <c:extLst>
            <c:ext xmlns:c16="http://schemas.microsoft.com/office/drawing/2014/chart" uri="{C3380CC4-5D6E-409C-BE32-E72D297353CC}">
              <c16:uniqueId val="{00000000-1DDE-43E7-A244-E274DE8342C3}"/>
            </c:ext>
          </c:extLst>
        </c:ser>
        <c:ser>
          <c:idx val="1"/>
          <c:order val="1"/>
          <c:tx>
            <c:strRef>
              <c:f>Sheet1!$C$1</c:f>
              <c:strCache>
                <c:ptCount val="1"/>
                <c:pt idx="0">
                  <c:v>Mining Index</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numRef>
              <c:f>Sheet1!$A$2:$A$16</c:f>
              <c:numCache>
                <c:formatCode>mmm\-yy</c:formatCode>
                <c:ptCount val="15"/>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numCache>
            </c:numRef>
          </c:cat>
          <c:val>
            <c:numRef>
              <c:f>Sheet1!$C$2:$C$16</c:f>
              <c:numCache>
                <c:formatCode>_-* #,##0_-;\-* #,##0_-;_-* "-"??_-;_-@_-</c:formatCode>
                <c:ptCount val="15"/>
                <c:pt idx="0">
                  <c:v>130.41999999999999</c:v>
                </c:pt>
                <c:pt idx="1">
                  <c:v>124.91</c:v>
                </c:pt>
                <c:pt idx="2">
                  <c:v>125.09</c:v>
                </c:pt>
                <c:pt idx="3">
                  <c:v>124.44</c:v>
                </c:pt>
                <c:pt idx="4">
                  <c:v>151.53</c:v>
                </c:pt>
                <c:pt idx="5">
                  <c:v>161.28</c:v>
                </c:pt>
                <c:pt idx="6">
                  <c:v>163.99</c:v>
                </c:pt>
                <c:pt idx="7">
                  <c:v>161.34</c:v>
                </c:pt>
                <c:pt idx="8">
                  <c:v>163.76</c:v>
                </c:pt>
                <c:pt idx="9">
                  <c:v>217.34</c:v>
                </c:pt>
                <c:pt idx="10">
                  <c:v>208.56</c:v>
                </c:pt>
                <c:pt idx="11">
                  <c:v>227.71</c:v>
                </c:pt>
                <c:pt idx="12">
                  <c:v>213.13</c:v>
                </c:pt>
                <c:pt idx="13">
                  <c:v>207.03</c:v>
                </c:pt>
                <c:pt idx="14">
                  <c:v>193.98</c:v>
                </c:pt>
              </c:numCache>
            </c:numRef>
          </c:val>
          <c:smooth val="0"/>
          <c:extLst>
            <c:ext xmlns:c16="http://schemas.microsoft.com/office/drawing/2014/chart" uri="{C3380CC4-5D6E-409C-BE32-E72D297353CC}">
              <c16:uniqueId val="{00000001-1DDE-43E7-A244-E274DE8342C3}"/>
            </c:ext>
          </c:extLst>
        </c:ser>
        <c:ser>
          <c:idx val="2"/>
          <c:order val="2"/>
          <c:tx>
            <c:strRef>
              <c:f>Sheet1!$D$1</c:f>
              <c:strCache>
                <c:ptCount val="1"/>
                <c:pt idx="0">
                  <c:v>All Share</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numRef>
              <c:f>Sheet1!$A$2:$A$16</c:f>
              <c:numCache>
                <c:formatCode>mmm\-yy</c:formatCode>
                <c:ptCount val="15"/>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numCache>
            </c:numRef>
          </c:cat>
          <c:val>
            <c:numRef>
              <c:f>Sheet1!$D$2:$D$16</c:f>
              <c:numCache>
                <c:formatCode>_-* #,##0_-;\-* #,##0_-;_-* "-"??_-;_-@_-</c:formatCode>
                <c:ptCount val="15"/>
                <c:pt idx="0">
                  <c:v>91.32</c:v>
                </c:pt>
                <c:pt idx="1">
                  <c:v>88.03</c:v>
                </c:pt>
                <c:pt idx="2">
                  <c:v>86.98</c:v>
                </c:pt>
                <c:pt idx="3">
                  <c:v>98.71</c:v>
                </c:pt>
                <c:pt idx="4">
                  <c:v>108.3</c:v>
                </c:pt>
                <c:pt idx="5">
                  <c:v>102.1</c:v>
                </c:pt>
                <c:pt idx="6">
                  <c:v>114.32</c:v>
                </c:pt>
                <c:pt idx="7">
                  <c:v>117.33</c:v>
                </c:pt>
                <c:pt idx="8">
                  <c:v>115.12</c:v>
                </c:pt>
                <c:pt idx="9">
                  <c:v>163.82</c:v>
                </c:pt>
                <c:pt idx="10">
                  <c:v>160.4</c:v>
                </c:pt>
                <c:pt idx="11">
                  <c:v>146.24</c:v>
                </c:pt>
                <c:pt idx="12">
                  <c:v>157.54</c:v>
                </c:pt>
                <c:pt idx="13">
                  <c:v>148.11000000000001</c:v>
                </c:pt>
                <c:pt idx="14">
                  <c:v>121.66</c:v>
                </c:pt>
              </c:numCache>
            </c:numRef>
          </c:val>
          <c:smooth val="0"/>
          <c:extLst>
            <c:ext xmlns:c16="http://schemas.microsoft.com/office/drawing/2014/chart" uri="{C3380CC4-5D6E-409C-BE32-E72D297353CC}">
              <c16:uniqueId val="{00000002-1DDE-43E7-A244-E274DE8342C3}"/>
            </c:ext>
          </c:extLst>
        </c:ser>
        <c:ser>
          <c:idx val="3"/>
          <c:order val="3"/>
          <c:tx>
            <c:strRef>
              <c:f>Sheet1!$E$1</c:f>
              <c:strCache>
                <c:ptCount val="1"/>
                <c:pt idx="0">
                  <c:v>Top Ten Index</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Sheet1!$A$2:$A$16</c:f>
              <c:numCache>
                <c:formatCode>mmm\-yy</c:formatCode>
                <c:ptCount val="15"/>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numCache>
            </c:numRef>
          </c:cat>
          <c:val>
            <c:numRef>
              <c:f>Sheet1!$E$2:$E$16</c:f>
              <c:numCache>
                <c:formatCode>_-* #,##0_-;\-* #,##0_-;_-* "-"??_-;_-@_-</c:formatCode>
                <c:ptCount val="15"/>
                <c:pt idx="0">
                  <c:v>90.43</c:v>
                </c:pt>
                <c:pt idx="1">
                  <c:v>87.07</c:v>
                </c:pt>
                <c:pt idx="2">
                  <c:v>85.71</c:v>
                </c:pt>
                <c:pt idx="3">
                  <c:v>100.82</c:v>
                </c:pt>
                <c:pt idx="4">
                  <c:v>111.2</c:v>
                </c:pt>
                <c:pt idx="5">
                  <c:v>103.31</c:v>
                </c:pt>
                <c:pt idx="6">
                  <c:v>118.84</c:v>
                </c:pt>
                <c:pt idx="7">
                  <c:v>121.69</c:v>
                </c:pt>
                <c:pt idx="8">
                  <c:v>117.6</c:v>
                </c:pt>
                <c:pt idx="9">
                  <c:v>167.48</c:v>
                </c:pt>
                <c:pt idx="10">
                  <c:v>164.98</c:v>
                </c:pt>
                <c:pt idx="11">
                  <c:v>145.02000000000001</c:v>
                </c:pt>
                <c:pt idx="12">
                  <c:v>158.28</c:v>
                </c:pt>
                <c:pt idx="13">
                  <c:v>145.4</c:v>
                </c:pt>
                <c:pt idx="14">
                  <c:v>114.61</c:v>
                </c:pt>
              </c:numCache>
            </c:numRef>
          </c:val>
          <c:smooth val="0"/>
          <c:extLst>
            <c:ext xmlns:c16="http://schemas.microsoft.com/office/drawing/2014/chart" uri="{C3380CC4-5D6E-409C-BE32-E72D297353CC}">
              <c16:uniqueId val="{00000003-1DDE-43E7-A244-E274DE8342C3}"/>
            </c:ext>
          </c:extLst>
        </c:ser>
        <c:dLbls>
          <c:showLegendKey val="0"/>
          <c:showVal val="0"/>
          <c:showCatName val="0"/>
          <c:showSerName val="0"/>
          <c:showPercent val="0"/>
          <c:showBubbleSize val="0"/>
        </c:dLbls>
        <c:smooth val="0"/>
        <c:axId val="-69144752"/>
        <c:axId val="-69149648"/>
      </c:lineChart>
      <c:dateAx>
        <c:axId val="-69144752"/>
        <c:scaling>
          <c:orientation val="minMax"/>
        </c:scaling>
        <c:delete val="0"/>
        <c:axPos val="b"/>
        <c:numFmt formatCode="mmm\-yy" sourceLinked="1"/>
        <c:majorTickMark val="out"/>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9149648"/>
        <c:crosses val="autoZero"/>
        <c:auto val="1"/>
        <c:lblOffset val="100"/>
        <c:baseTimeUnit val="months"/>
      </c:dateAx>
      <c:valAx>
        <c:axId val="-69149648"/>
        <c:scaling>
          <c:orientation val="minMax"/>
        </c:scaling>
        <c:delete val="0"/>
        <c:axPos val="l"/>
        <c:majorGridlines>
          <c:spPr>
            <a:ln w="9525" cap="flat" cmpd="sng" algn="ctr">
              <a:solidFill>
                <a:schemeClr val="tx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6914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Graphs!$A$75</c:f>
              <c:strCache>
                <c:ptCount val="1"/>
                <c:pt idx="0">
                  <c:v>Revenue</c:v>
                </c:pt>
              </c:strCache>
            </c:strRef>
          </c:tx>
          <c:spPr>
            <a:solidFill>
              <a:schemeClr val="accent1"/>
            </a:solidFill>
            <a:ln>
              <a:noFill/>
            </a:ln>
            <a:effectLst/>
          </c:spPr>
          <c:invertIfNegative val="0"/>
          <c:cat>
            <c:strRef>
              <c:f>Graphs!$B$74:$D$74</c:f>
              <c:strCache>
                <c:ptCount val="3"/>
                <c:pt idx="0">
                  <c:v>Jan</c:v>
                </c:pt>
                <c:pt idx="1">
                  <c:v>Feb</c:v>
                </c:pt>
                <c:pt idx="2">
                  <c:v>Mar</c:v>
                </c:pt>
              </c:strCache>
            </c:strRef>
          </c:cat>
          <c:val>
            <c:numRef>
              <c:f>Graphs!$B$75:$D$75</c:f>
              <c:numCache>
                <c:formatCode>0.0</c:formatCode>
                <c:ptCount val="3"/>
                <c:pt idx="0">
                  <c:v>487.58032258466017</c:v>
                </c:pt>
                <c:pt idx="1">
                  <c:v>606.72453908</c:v>
                </c:pt>
                <c:pt idx="2">
                  <c:v>832.29872483999998</c:v>
                </c:pt>
              </c:numCache>
            </c:numRef>
          </c:val>
          <c:extLst>
            <c:ext xmlns:c16="http://schemas.microsoft.com/office/drawing/2014/chart" uri="{C3380CC4-5D6E-409C-BE32-E72D297353CC}">
              <c16:uniqueId val="{00000000-5552-4B43-9890-25D52C87FA0F}"/>
            </c:ext>
          </c:extLst>
        </c:ser>
        <c:ser>
          <c:idx val="1"/>
          <c:order val="1"/>
          <c:tx>
            <c:strRef>
              <c:f>Graphs!$A$76</c:f>
              <c:strCache>
                <c:ptCount val="1"/>
                <c:pt idx="0">
                  <c:v>Expenditure</c:v>
                </c:pt>
              </c:strCache>
            </c:strRef>
          </c:tx>
          <c:spPr>
            <a:solidFill>
              <a:schemeClr val="accent2"/>
            </a:solidFill>
            <a:ln>
              <a:noFill/>
            </a:ln>
            <a:effectLst/>
          </c:spPr>
          <c:invertIfNegative val="0"/>
          <c:cat>
            <c:strRef>
              <c:f>Graphs!$B$74:$D$74</c:f>
              <c:strCache>
                <c:ptCount val="3"/>
                <c:pt idx="0">
                  <c:v>Jan</c:v>
                </c:pt>
                <c:pt idx="1">
                  <c:v>Feb</c:v>
                </c:pt>
                <c:pt idx="2">
                  <c:v>Mar</c:v>
                </c:pt>
              </c:strCache>
            </c:strRef>
          </c:cat>
          <c:val>
            <c:numRef>
              <c:f>Graphs!$B$76:$D$76</c:f>
              <c:numCache>
                <c:formatCode>0.0</c:formatCode>
                <c:ptCount val="3"/>
                <c:pt idx="0">
                  <c:v>385.16091576999997</c:v>
                </c:pt>
                <c:pt idx="1">
                  <c:v>521.32077988000003</c:v>
                </c:pt>
                <c:pt idx="2">
                  <c:v>577.00193725999998</c:v>
                </c:pt>
              </c:numCache>
            </c:numRef>
          </c:val>
          <c:extLst>
            <c:ext xmlns:c16="http://schemas.microsoft.com/office/drawing/2014/chart" uri="{C3380CC4-5D6E-409C-BE32-E72D297353CC}">
              <c16:uniqueId val="{00000001-5552-4B43-9890-25D52C87FA0F}"/>
            </c:ext>
          </c:extLst>
        </c:ser>
        <c:ser>
          <c:idx val="2"/>
          <c:order val="2"/>
          <c:tx>
            <c:strRef>
              <c:f>Graphs!$A$77</c:f>
              <c:strCache>
                <c:ptCount val="1"/>
                <c:pt idx="0">
                  <c:v>Budget Balance</c:v>
                </c:pt>
              </c:strCache>
            </c:strRef>
          </c:tx>
          <c:spPr>
            <a:solidFill>
              <a:schemeClr val="accent3"/>
            </a:solidFill>
            <a:ln>
              <a:noFill/>
            </a:ln>
            <a:effectLst/>
          </c:spPr>
          <c:invertIfNegative val="0"/>
          <c:cat>
            <c:strRef>
              <c:f>Graphs!$B$74:$D$74</c:f>
              <c:strCache>
                <c:ptCount val="3"/>
                <c:pt idx="0">
                  <c:v>Jan</c:v>
                </c:pt>
                <c:pt idx="1">
                  <c:v>Feb</c:v>
                </c:pt>
                <c:pt idx="2">
                  <c:v>Mar</c:v>
                </c:pt>
              </c:strCache>
            </c:strRef>
          </c:cat>
          <c:val>
            <c:numRef>
              <c:f>Graphs!$B$77:$D$77</c:f>
              <c:numCache>
                <c:formatCode>0.0</c:formatCode>
                <c:ptCount val="3"/>
                <c:pt idx="0">
                  <c:v>102.41940681466019</c:v>
                </c:pt>
                <c:pt idx="1">
                  <c:v>85.403759199999968</c:v>
                </c:pt>
                <c:pt idx="2">
                  <c:v>255.29678758</c:v>
                </c:pt>
              </c:numCache>
            </c:numRef>
          </c:val>
          <c:extLst>
            <c:ext xmlns:c16="http://schemas.microsoft.com/office/drawing/2014/chart" uri="{C3380CC4-5D6E-409C-BE32-E72D297353CC}">
              <c16:uniqueId val="{00000002-5552-4B43-9890-25D52C87FA0F}"/>
            </c:ext>
          </c:extLst>
        </c:ser>
        <c:dLbls>
          <c:showLegendKey val="0"/>
          <c:showVal val="0"/>
          <c:showCatName val="0"/>
          <c:showSerName val="0"/>
          <c:showPercent val="0"/>
          <c:showBubbleSize val="0"/>
        </c:dLbls>
        <c:gapWidth val="219"/>
        <c:overlap val="-27"/>
        <c:axId val="-69124624"/>
        <c:axId val="-69146928"/>
      </c:barChart>
      <c:catAx>
        <c:axId val="-6912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46928"/>
        <c:crosses val="autoZero"/>
        <c:auto val="1"/>
        <c:lblAlgn val="ctr"/>
        <c:lblOffset val="100"/>
        <c:noMultiLvlLbl val="0"/>
      </c:catAx>
      <c:valAx>
        <c:axId val="-69146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ZW"/>
                  <a:t>$</a:t>
                </a:r>
                <a:r>
                  <a:rPr lang="en-ZW" baseline="0"/>
                  <a:t> Million</a:t>
                </a:r>
                <a:endParaRPr lang="en-ZW"/>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1246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pattFill prst="wdDnDiag">
      <a:fgClr>
        <a:schemeClr val="accent6">
          <a:lumMod val="40000"/>
          <a:lumOff val="60000"/>
        </a:schemeClr>
      </a:fgClr>
      <a:bgClr>
        <a:schemeClr val="bg1"/>
      </a:bgClr>
    </a:patt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15A9-531A-4A84-B89C-469271DD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6915</Words>
  <Characters>39422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Kuda</dc:creator>
  <cp:lastModifiedBy>Benedict Takunda Zinhu</cp:lastModifiedBy>
  <cp:revision>2</cp:revision>
  <cp:lastPrinted>2019-05-15T07:48:00Z</cp:lastPrinted>
  <dcterms:created xsi:type="dcterms:W3CDTF">2019-05-17T08:34:00Z</dcterms:created>
  <dcterms:modified xsi:type="dcterms:W3CDTF">2019-05-17T08:34:00Z</dcterms:modified>
</cp:coreProperties>
</file>